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46955" w14:textId="77777777" w:rsidR="00EE7995" w:rsidRDefault="008B79A7">
      <w:pPr>
        <w:spacing w:after="168" w:line="259" w:lineRule="auto"/>
        <w:ind w:left="19" w:right="19" w:firstLine="0"/>
        <w:jc w:val="center"/>
      </w:pPr>
      <w:r>
        <w:rPr>
          <w:sz w:val="34"/>
        </w:rPr>
        <w:t>An integrated fission gas swelling correlation for UMo research reactor fuel</w:t>
      </w:r>
    </w:p>
    <w:p w14:paraId="52A99B59" w14:textId="77777777" w:rsidR="00EE7995" w:rsidRDefault="008B79A7">
      <w:pPr>
        <w:spacing w:after="491" w:line="259" w:lineRule="auto"/>
        <w:ind w:firstLine="0"/>
        <w:jc w:val="center"/>
      </w:pPr>
      <w:r>
        <w:rPr>
          <w:sz w:val="24"/>
        </w:rPr>
        <w:t xml:space="preserve">Benjamin Beeler, Bei Ye, Jahid Hasan, </w:t>
      </w:r>
      <w:proofErr w:type="spellStart"/>
      <w:r>
        <w:rPr>
          <w:sz w:val="24"/>
        </w:rPr>
        <w:t>Zhi</w:t>
      </w:r>
      <w:proofErr w:type="spellEnd"/>
      <w:r>
        <w:rPr>
          <w:sz w:val="24"/>
        </w:rPr>
        <w:t xml:space="preserve">-Gang Mei, </w:t>
      </w:r>
      <w:proofErr w:type="spellStart"/>
      <w:r>
        <w:rPr>
          <w:sz w:val="24"/>
        </w:rPr>
        <w:t>Hakan</w:t>
      </w:r>
      <w:proofErr w:type="spellEnd"/>
      <w:r>
        <w:rPr>
          <w:sz w:val="24"/>
        </w:rPr>
        <w:t xml:space="preserve"> </w:t>
      </w:r>
      <w:proofErr w:type="spellStart"/>
      <w:r>
        <w:rPr>
          <w:sz w:val="24"/>
        </w:rPr>
        <w:t>Ozaltun</w:t>
      </w:r>
      <w:proofErr w:type="spellEnd"/>
    </w:p>
    <w:p w14:paraId="3DD6BEBF" w14:textId="531130CB" w:rsidR="00BE5D54" w:rsidRDefault="00BE5D54" w:rsidP="00BE5D54">
      <w:pPr>
        <w:ind w:left="-15"/>
      </w:pPr>
      <w:r>
        <w:t>A</w:t>
      </w:r>
      <w:r>
        <w:t xml:space="preserve"> mechanistic, microstructure-based approach has the potential to provide</w:t>
      </w:r>
      <w:r>
        <w:t xml:space="preserve"> </w:t>
      </w:r>
      <w:r>
        <w:t>a more predictive fuel performance capability</w:t>
      </w:r>
      <w:r>
        <w:t xml:space="preserve"> than empirical fitting to limited experimental datasets. This is particularly the case when data is restricted to certain operating parameters, but the materials of interest may operate outside of that experimental phase space. By incorporating lower length scale</w:t>
      </w:r>
      <w:r w:rsidR="00E123B0">
        <w:t xml:space="preserve"> (LLS)</w:t>
      </w:r>
      <w:r>
        <w:t xml:space="preserve"> information, </w:t>
      </w:r>
      <w:proofErr w:type="gramStart"/>
      <w:r>
        <w:t>e.g.</w:t>
      </w:r>
      <w:proofErr w:type="gramEnd"/>
      <w:r>
        <w:t xml:space="preserve"> experimental microstructures, </w:t>
      </w:r>
      <w:r w:rsidR="00E123B0">
        <w:t xml:space="preserve">atomistic information, e.g. diffusivities, and LLS modeling information, e.g. bubble evolution, a more general model can be developed that appropriately incorporates underlying physical phenomena into macroscale predictions. This work aims to begin introducing LLS information into the fission gas swelling models that can be implemented in the engineering scale fuel performance modeling simulations. </w:t>
      </w:r>
    </w:p>
    <w:p w14:paraId="6FCE0FDA" w14:textId="371BF557" w:rsidR="00096BBE" w:rsidRDefault="00E123B0" w:rsidP="00E123B0">
      <w:pPr>
        <w:pStyle w:val="Heading2"/>
      </w:pPr>
      <w:r>
        <w:t>Fitting Procedure</w:t>
      </w:r>
    </w:p>
    <w:p w14:paraId="469FC93F" w14:textId="4762BC74" w:rsidR="00E123B0" w:rsidRDefault="007265C3" w:rsidP="00E123B0">
      <w:r>
        <w:t>Modification of the fission gas swelling is performed to include the initial grain size, fission rate</w:t>
      </w:r>
      <w:r w:rsidR="00EB1F76">
        <w:t xml:space="preserve"> density</w:t>
      </w:r>
      <w:r>
        <w:t xml:space="preserve">, temperature, and fission density. This allows for three additional levels of detail beyond the pre-existing correlations, which are only function of the fission density. In order to account for the additional levels of information, underlying data needs to be obtained that can be utilized to fit various descriptive functions. Thus, the DART </w:t>
      </w:r>
      <w:r>
        <w:fldChar w:fldCharType="begin" w:fldLock="1"/>
      </w:r>
      <w:r w:rsidR="006A44C6">
        <w:instrText>ADDIN CSL_CITATION {"citationItems":[{"id":"ITEM-1","itemData":{"author":[{"dropping-particle":"","family":"Ye","given":"Bei","non-dropping-particle":"","parse-names":false,"suffix":""},{"dropping-particle":"","family":"Rest","given":"J.","non-dropping-particle":"","parse-names":false,"suffix":""},{"dropping-particle":"","family":"Kim","given":"Y.S.","non-dropping-particle":"","parse-names":false,"suffix":""}],"id":"ITEM-1","issue":"ANL/GTRI/TM-13/3","issued":{"date-parts":[["2013"]]},"note":"From Duplicate 2 (A Description of the Mechanistic DART-THERMAL Dispersion Fuel Performance Code and Application to Irradiation Behavior Analysis of U-Mo/Al - Ye, Bei; Rest, J.; Kim, Y.S.)\n\nFrom Duplicate 1 (A {Description} of the {Mechanistic} {DART}-{THERMAL} {Dispersion} {Fuel} {Performance} {Code} and {Application} to {Irradiation} {Behavior} {Analysis} of {U}-{Mo}/{Al} - Ye, B; Rest, J; Kim, Y)\n\nIssue: ANL/GTRI/TM-13/3","number":"ANL/GTRI/TM-13/3","publisher-place":"Argonne, IL (United States)","title":"A Description of the Mechanistic DART-THERMAL Dispersion Fuel Performance Code and Application to Irradiation Behavior Analysis of U-Mo/Al","type":"report"},"uris":["http://www.mendeley.com/documents/?uuid=25f73853-2080-4a7d-a94b-abd84b213ebf"]}],"mendeley":{"formattedCitation":"(Ye et al., 2013)","plainTextFormattedCitation":"(Ye et al., 2013)","previouslyFormattedCitation":"(Ye et al., 2013)"},"properties":{"noteIndex":0},"schema":"https://github.com/citation-style-language/schema/raw/master/csl-citation.json"}</w:instrText>
      </w:r>
      <w:r>
        <w:fldChar w:fldCharType="separate"/>
      </w:r>
      <w:r w:rsidRPr="007265C3">
        <w:rPr>
          <w:noProof/>
        </w:rPr>
        <w:t>(Ye et al., 2013)</w:t>
      </w:r>
      <w:r>
        <w:fldChar w:fldCharType="end"/>
      </w:r>
      <w:r>
        <w:t xml:space="preserve"> code was utilized to investigate variability of each of the respective quantities of interest, sufficient to gain quantitative trends. </w:t>
      </w:r>
      <w:r w:rsidR="00D42DBD">
        <w:t xml:space="preserve">Fission densities at 136 increments are reported for each configuration, up to a maximum fission density of approximately </w:t>
      </w:r>
      <m:oMath>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21</m:t>
            </m:r>
          </m:sup>
        </m:sSup>
      </m:oMath>
      <w:r w:rsidR="00D42DBD">
        <w:t xml:space="preserve"> fiss/cm</w:t>
      </w:r>
      <w:r w:rsidR="00D42DBD">
        <w:rPr>
          <w:vertAlign w:val="superscript"/>
        </w:rPr>
        <w:t>3</w:t>
      </w:r>
      <w:r w:rsidR="00D42DBD">
        <w:t xml:space="preserve">. Three grain sizes (4.4 </w:t>
      </w:r>
      <w:r w:rsidR="00D42DBD" w:rsidRPr="00D42DBD">
        <w:rPr>
          <w:rFonts w:ascii="Symbol" w:hAnsi="Symbol"/>
        </w:rPr>
        <w:t>m</w:t>
      </w:r>
      <w:r w:rsidR="00D42DBD">
        <w:t xml:space="preserve">m, 8.5 </w:t>
      </w:r>
      <w:r w:rsidR="00D42DBD" w:rsidRPr="00D42DBD">
        <w:rPr>
          <w:rFonts w:ascii="Symbol" w:hAnsi="Symbol"/>
        </w:rPr>
        <w:t>m</w:t>
      </w:r>
      <w:r w:rsidR="00D42DBD">
        <w:t>m</w:t>
      </w:r>
      <w:r w:rsidR="00D42DBD">
        <w:t xml:space="preserve">, and 17 </w:t>
      </w:r>
      <w:r w:rsidR="00D42DBD" w:rsidRPr="00D42DBD">
        <w:rPr>
          <w:rFonts w:ascii="Symbol" w:hAnsi="Symbol"/>
        </w:rPr>
        <w:t>m</w:t>
      </w:r>
      <w:r w:rsidR="00D42DBD">
        <w:t>m</w:t>
      </w:r>
      <w:r w:rsidR="00D42DBD">
        <w:t>) are investigated to gain a sense of variability with initial grain size. Three fission rate</w:t>
      </w:r>
      <w:r w:rsidR="00EB1F76">
        <w:t xml:space="preserve"> densities</w:t>
      </w:r>
      <w:r w:rsidR="00D42DBD">
        <w:t xml:space="preserve"> (</w:t>
      </w:r>
      <m:oMath>
        <m:r>
          <w:rPr>
            <w:rFonts w:ascii="Cambria Math" w:hAnsi="Cambria Math"/>
          </w:rPr>
          <m:t>3.0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oMath>
      <w:r w:rsidR="00D42DBD">
        <w:t xml:space="preserve"> </w:t>
      </w:r>
      <w:proofErr w:type="spellStart"/>
      <w:r w:rsidR="00D42DBD">
        <w:t>fiss</w:t>
      </w:r>
      <w:proofErr w:type="spellEnd"/>
      <w:r w:rsidR="00D42DBD">
        <w:t>/cm</w:t>
      </w:r>
      <w:r w:rsidR="00D42DBD">
        <w:rPr>
          <w:vertAlign w:val="superscript"/>
        </w:rPr>
        <w:t>3</w:t>
      </w:r>
      <w:r w:rsidR="00D42DBD">
        <w:t xml:space="preserve">-s, </w:t>
      </w:r>
      <m:oMath>
        <m:r>
          <w:rPr>
            <w:rFonts w:ascii="Cambria Math" w:hAnsi="Cambria Math"/>
          </w:rPr>
          <m:t>5.9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oMath>
      <w:r w:rsidR="00D42DBD">
        <w:t xml:space="preserve"> </w:t>
      </w:r>
      <w:proofErr w:type="spellStart"/>
      <w:r w:rsidR="00D42DBD">
        <w:t>fiss</w:t>
      </w:r>
      <w:proofErr w:type="spellEnd"/>
      <w:r w:rsidR="00D42DBD">
        <w:t>/cm</w:t>
      </w:r>
      <w:r w:rsidR="00D42DBD">
        <w:rPr>
          <w:vertAlign w:val="superscript"/>
        </w:rPr>
        <w:t>3</w:t>
      </w:r>
      <w:r w:rsidR="00D42DBD">
        <w:t xml:space="preserve">-s, and </w:t>
      </w:r>
      <m:oMath>
        <m:r>
          <w:rPr>
            <w:rFonts w:ascii="Cambria Math" w:hAnsi="Cambria Math"/>
          </w:rPr>
          <m:t>8.9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oMath>
      <w:r w:rsidR="00D42DBD">
        <w:t xml:space="preserve"> </w:t>
      </w:r>
      <w:proofErr w:type="spellStart"/>
      <w:r w:rsidR="00D42DBD">
        <w:t>fiss</w:t>
      </w:r>
      <w:proofErr w:type="spellEnd"/>
      <w:r w:rsidR="00D42DBD">
        <w:t>/cm</w:t>
      </w:r>
      <w:r w:rsidR="00D42DBD">
        <w:rPr>
          <w:vertAlign w:val="superscript"/>
        </w:rPr>
        <w:t>3</w:t>
      </w:r>
      <w:r w:rsidR="00D42DBD">
        <w:t xml:space="preserve">-s) were implemented to quantify </w:t>
      </w:r>
      <w:r w:rsidR="006A44C6">
        <w:t>the effects</w:t>
      </w:r>
      <w:r w:rsidR="00D42DBD">
        <w:t xml:space="preserve"> of fission rate</w:t>
      </w:r>
      <w:r w:rsidR="00EB1F76">
        <w:t xml:space="preserve"> density</w:t>
      </w:r>
      <w:r w:rsidR="006A44C6">
        <w:t xml:space="preserve">, assuming a constant fission rate </w:t>
      </w:r>
      <w:r w:rsidR="00EB1F76">
        <w:t xml:space="preserve">density </w:t>
      </w:r>
      <w:r w:rsidR="006A44C6">
        <w:t>throughout the entire lifetime</w:t>
      </w:r>
      <w:r w:rsidR="00D42DBD">
        <w:t xml:space="preserve">. Two temperatures (defined as the initial full power centerline temperature) </w:t>
      </w:r>
      <w:r w:rsidR="006A44C6">
        <w:t xml:space="preserve">were </w:t>
      </w:r>
      <w:r w:rsidR="006A44C6">
        <w:lastRenderedPageBreak/>
        <w:t xml:space="preserve">also studied (150°C and 115°C) to generate a temperature dependence. The nominal parameters were chosen to be </w:t>
      </w:r>
      <w:r w:rsidR="006A44C6">
        <w:t xml:space="preserve">8.5 </w:t>
      </w:r>
      <w:r w:rsidR="006A44C6" w:rsidRPr="00D42DBD">
        <w:rPr>
          <w:rFonts w:ascii="Symbol" w:hAnsi="Symbol"/>
        </w:rPr>
        <w:t>m</w:t>
      </w:r>
      <w:r w:rsidR="006A44C6">
        <w:t>m</w:t>
      </w:r>
      <w:r w:rsidR="006A44C6">
        <w:t xml:space="preserve">, </w:t>
      </w:r>
      <m:oMath>
        <m:r>
          <w:rPr>
            <w:rFonts w:ascii="Cambria Math" w:hAnsi="Cambria Math"/>
          </w:rPr>
          <m:t>5.9×</m:t>
        </m:r>
        <m:sSup>
          <m:sSupPr>
            <m:ctrlPr>
              <w:rPr>
                <w:rFonts w:ascii="Cambria Math" w:hAnsi="Cambria Math"/>
                <w:i/>
              </w:rPr>
            </m:ctrlPr>
          </m:sSupPr>
          <m:e>
            <m:r>
              <w:rPr>
                <w:rFonts w:ascii="Cambria Math" w:hAnsi="Cambria Math"/>
              </w:rPr>
              <m:t>10</m:t>
            </m:r>
          </m:e>
          <m:sup>
            <m:r>
              <w:rPr>
                <w:rFonts w:ascii="Cambria Math" w:hAnsi="Cambria Math"/>
              </w:rPr>
              <m:t>14</m:t>
            </m:r>
          </m:sup>
        </m:sSup>
      </m:oMath>
      <w:r w:rsidR="006A44C6">
        <w:t xml:space="preserve"> </w:t>
      </w:r>
      <w:proofErr w:type="spellStart"/>
      <w:r w:rsidR="006A44C6">
        <w:t>fiss</w:t>
      </w:r>
      <w:proofErr w:type="spellEnd"/>
      <w:r w:rsidR="006A44C6">
        <w:t>/cm</w:t>
      </w:r>
      <w:r w:rsidR="006A44C6">
        <w:rPr>
          <w:vertAlign w:val="superscript"/>
        </w:rPr>
        <w:t>3</w:t>
      </w:r>
      <w:r w:rsidR="006A44C6">
        <w:t>-s</w:t>
      </w:r>
      <w:r w:rsidR="006A44C6">
        <w:t xml:space="preserve">, and </w:t>
      </w:r>
      <w:r w:rsidR="006A44C6">
        <w:t>150°C</w:t>
      </w:r>
      <w:r w:rsidR="006A44C6">
        <w:t>. These are reasonable parameters, although the exact conditions for each relevant research reactor will be slightly different.</w:t>
      </w:r>
      <w:r w:rsidR="00FE3946">
        <w:t xml:space="preserve"> It should be noted that although the data sets under investigation are not wholly inclusive with respect to the potential set of conditions in research reactors of interest, </w:t>
      </w:r>
      <w:r w:rsidR="0013563F">
        <w:t xml:space="preserve">the generated functions are expected to be accurate under minimal extrapolation. </w:t>
      </w:r>
    </w:p>
    <w:p w14:paraId="6695F68E" w14:textId="60758F33" w:rsidR="0013563F" w:rsidRDefault="006A44C6" w:rsidP="0013563F">
      <w:r>
        <w:t xml:space="preserve">The existing fuel swelling correlations are shown below in </w:t>
      </w:r>
      <w:fldSimple w:instr=" REF _Ref82416510 ">
        <w:r>
          <w:t xml:space="preserve">Figure </w:t>
        </w:r>
        <w:r>
          <w:rPr>
            <w:noProof/>
          </w:rPr>
          <w:t>1</w:t>
        </w:r>
      </w:fldSimple>
      <w:r>
        <w:t xml:space="preserve">. Further detail on each of these individual correlations can be found in </w:t>
      </w:r>
      <w:r>
        <w:fldChar w:fldCharType="begin" w:fldLock="1"/>
      </w:r>
      <w:r w:rsidR="00E13DE1">
        <w:instrText>ADDIN CSL_CITATION {"citationItems":[{"id":"ITEM-1","itemData":{"DOI":"10.1016/j.jnucmat.2020.152703","ISSN":"00223115","abstract":"Understanding swelling behavior in monolithic, uranium-molybdenum, plate-type fuel is necessary to qualify the fuel for reactor use and for the conversion of high performance research reactors from highly enriched to low-enriched uranium. Multiple mechanisms influence plate dimensional stability, including solid and gaseous fission-product induced swelling, irradiation-assisted creep, fuel-phase transformation, and interaction-layer formation. Separating these phenomena remains a challenge, and current models do not appear to adequately predict experimental results at higher fission densities where it is most critical. To mitigate the mechanistic uncertainty, post-irradiation profilometry is used to increase the number of data points available over a range of in-reactor irradiation experiments conducted at the Advanced Test Reactor, and to provide a statistical precedent for a swelling-behavior model. This work establishes a predictive swelling correlation as a function of fission density, with associated confidence and prediction bounds, by analyzing more than 18,000 thickness data points collected on 74 irradiated U-10Mo monolithic fuel test plates over a range of irradiation conditions.","author":[{"dropping-particle":"","family":"Robinson","given":"A.B.","non-dropping-particle":"","parse-names":false,"suffix":""},{"dropping-particle":"","family":"Williams","given":"W.J.","non-dropping-particle":"","parse-names":false,"suffix":""},{"dropping-particle":"","family":"Hanson","given":"W.A.","non-dropping-particle":"","parse-names":false,"suffix":""},{"dropping-particle":"","family":"Rabin","given":"B.H.","non-dropping-particle":"","parse-names":false,"suffix":""},{"dropping-particle":"","family":"Lybeck","given":"N.J.","non-dropping-particle":"","parse-names":false,"suffix":""},{"dropping-particle":"","family":"Meyer","given":"M.K.","non-dropping-particle":"","parse-names":false,"suffix":""}],"container-title":"Journal of Nuclear Materials","id":"ITEM-1","issued":{"date-parts":[["2021","2"]]},"page":"152703","publisher":"Elsevier B.V.","title":"Swelling of U-Mo Monolithic Fuel: Developing a Predictive Swelling Correlation under Research Reactor Conditions","type":"article-journal","volume":"544"},"uris":["http://www.mendeley.com/documents/?uuid=cf7f8c14-cd1e-424b-931e-ca7f556a4dbd"]}],"mendeley":{"formattedCitation":"(Robinson et al., 2021)","plainTextFormattedCitation":"(Robinson et al., 2021)","previouslyFormattedCitation":"(Robinson et al., 2021)"},"properties":{"noteIndex":0},"schema":"https://github.com/citation-style-language/schema/raw/master/csl-citation.json"}</w:instrText>
      </w:r>
      <w:r>
        <w:fldChar w:fldCharType="separate"/>
      </w:r>
      <w:r w:rsidRPr="006A44C6">
        <w:rPr>
          <w:noProof/>
        </w:rPr>
        <w:t>(Robinson et al., 2021)</w:t>
      </w:r>
      <w:r>
        <w:fldChar w:fldCharType="end"/>
      </w:r>
      <w:r>
        <w:t xml:space="preserve">. One key aspect of note of all these models is the piece-wise nature, splitting low fission density behavior from high fission density. This is due to the more rapid swelling after grain refinement starts to occur. Generally, a transition occurs at a fission density of </w:t>
      </w:r>
      <m:oMath>
        <m:r>
          <w:rPr>
            <w:rFonts w:ascii="Cambria Math" w:hAnsi="Cambria Math"/>
          </w:rPr>
          <m:t>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21</m:t>
            </m:r>
          </m:sup>
        </m:sSup>
      </m:oMath>
      <w:r>
        <w:t xml:space="preserve"> </w:t>
      </w:r>
      <w:proofErr w:type="spellStart"/>
      <w:r>
        <w:t>fiss</w:t>
      </w:r>
      <w:proofErr w:type="spellEnd"/>
      <w:r>
        <w:t>/cm</w:t>
      </w:r>
      <w:r>
        <w:rPr>
          <w:vertAlign w:val="superscript"/>
        </w:rPr>
        <w:t>3</w:t>
      </w:r>
      <w:r>
        <w:t xml:space="preserve">. A similar approach is taken here, although instead of a piecewise function, an addition of two functions is employed with an analytical Heaviside step function </w:t>
      </w:r>
      <w:r w:rsidR="00FE3946">
        <w:t xml:space="preserve">to effectively negative one of the functions below a certain fission density. Unlike the previous correlations, the point at which the Heaviside function switches, and the steepness of the transfer, are fitting parameters, providing additional flexibility to accommodate the data set. </w:t>
      </w:r>
      <w:r w:rsidR="0013563F">
        <w:t xml:space="preserve"> </w:t>
      </w:r>
    </w:p>
    <w:p w14:paraId="6EE174FD" w14:textId="4E8BDC79" w:rsidR="006A44C6" w:rsidRDefault="007265C3" w:rsidP="0013563F">
      <w:pPr>
        <w:jc w:val="center"/>
      </w:pPr>
      <w:r w:rsidRPr="007265C3">
        <w:drawing>
          <wp:inline distT="0" distB="0" distL="0" distR="0" wp14:anchorId="6643EB2C" wp14:editId="36B0030F">
            <wp:extent cx="3743066" cy="2726479"/>
            <wp:effectExtent l="0" t="0" r="3810" b="44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a:stretch>
                      <a:fillRect/>
                    </a:stretch>
                  </pic:blipFill>
                  <pic:spPr>
                    <a:xfrm>
                      <a:off x="0" y="0"/>
                      <a:ext cx="3775628" cy="2750198"/>
                    </a:xfrm>
                    <a:prstGeom prst="rect">
                      <a:avLst/>
                    </a:prstGeom>
                  </pic:spPr>
                </pic:pic>
              </a:graphicData>
            </a:graphic>
          </wp:inline>
        </w:drawing>
      </w:r>
    </w:p>
    <w:p w14:paraId="570CA481" w14:textId="370BEF1F" w:rsidR="0013563F" w:rsidRDefault="006A44C6" w:rsidP="00B358C3">
      <w:pPr>
        <w:pStyle w:val="Caption"/>
        <w:jc w:val="center"/>
      </w:pPr>
      <w:bookmarkStart w:id="0" w:name="_Ref82416510"/>
      <w:r>
        <w:lastRenderedPageBreak/>
        <w:t xml:space="preserve">Figure </w:t>
      </w:r>
      <w:fldSimple w:instr=" SEQ Figure \* ARABIC ">
        <w:r w:rsidR="00B358C3">
          <w:rPr>
            <w:noProof/>
          </w:rPr>
          <w:t>1</w:t>
        </w:r>
      </w:fldSimple>
      <w:bookmarkEnd w:id="0"/>
      <w:r>
        <w:t xml:space="preserve">. Fuel swelling as a function of fission density. Reproduced from </w:t>
      </w:r>
      <w:r>
        <w:fldChar w:fldCharType="begin" w:fldLock="1"/>
      </w:r>
      <w:r>
        <w:instrText>ADDIN CSL_CITATION {"citationItems":[{"id":"ITEM-1","itemData":{"DOI":"10.1016/j.jnucmat.2020.152703","ISSN":"00223115","abstract":"Understanding swelling behavior in monolithic, uranium-molybdenum, plate-type fuel is necessary to qualify the fuel for reactor use and for the conversion of high performance research reactors from highly enriched to low-enriched uranium. Multiple mechanisms influence plate dimensional stability, including solid and gaseous fission-product induced swelling, irradiation-assisted creep, fuel-phase transformation, and interaction-layer formation. Separating these phenomena remains a challenge, and current models do not appear to adequately predict experimental results at higher fission densities where it is most critical. To mitigate the mechanistic uncertainty, post-irradiation profilometry is used to increase the number of data points available over a range of in-reactor irradiation experiments conducted at the Advanced Test Reactor, and to provide a statistical precedent for a swelling-behavior model. This work establishes a predictive swelling correlation as a function of fission density, with associated confidence and prediction bounds, by analyzing more than 18,000 thickness data points collected on 74 irradiated U-10Mo monolithic fuel test plates over a range of irradiation conditions.","author":[{"dropping-particle":"","family":"Robinson","given":"A.B.","non-dropping-particle":"","parse-names":false,"suffix":""},{"dropping-particle":"","family":"Williams","given":"W.J.","non-dropping-particle":"","parse-names":false,"suffix":""},{"dropping-particle":"","family":"Hanson","given":"W.A.","non-dropping-particle":"","parse-names":false,"suffix":""},{"dropping-particle":"","family":"Rabin","given":"B.H.","non-dropping-particle":"","parse-names":false,"suffix":""},{"dropping-particle":"","family":"Lybeck","given":"N.J.","non-dropping-particle":"","parse-names":false,"suffix":""},{"dropping-particle":"","family":"Meyer","given":"M.K.","non-dropping-particle":"","parse-names":false,"suffix":""}],"container-title":"Journal of Nuclear Materials","id":"ITEM-1","issued":{"date-parts":[["2021","2"]]},"page":"152703","publisher":"Elsevier B.V.","title":"Swelling of U-Mo Monolithic Fuel: Developing a Predictive Swelling Correlation under Research Reactor Conditions","type":"article-journal","volume":"544"},"uris":["http://www.mendeley.com/documents/?uuid=cf7f8c14-cd1e-424b-931e-ca7f556a4dbd"]}],"mendeley":{"formattedCitation":"(Robinson et al., 2021)","plainTextFormattedCitation":"(Robinson et al., 2021)","previouslyFormattedCitation":"(Robinson et al., 2021)"},"properties":{"noteIndex":0},"schema":"https://github.com/citation-style-language/schema/raw/master/csl-citation.json"}</w:instrText>
      </w:r>
      <w:r>
        <w:fldChar w:fldCharType="separate"/>
      </w:r>
      <w:r w:rsidRPr="006A44C6">
        <w:rPr>
          <w:i w:val="0"/>
          <w:noProof/>
        </w:rPr>
        <w:t>(Robinson et al., 2021)</w:t>
      </w:r>
      <w:r>
        <w:fldChar w:fldCharType="end"/>
      </w:r>
      <w:r>
        <w:t>.</w:t>
      </w:r>
    </w:p>
    <w:p w14:paraId="07C46135" w14:textId="1AEF9D0C" w:rsidR="006400CE" w:rsidRPr="006400CE" w:rsidRDefault="00843DBA" w:rsidP="00B358C3">
      <w:pPr>
        <w:ind w:left="-15"/>
      </w:pPr>
      <w:r>
        <w:t>After initial analysis of the fission gas swelling data from DART, the below functional forms were implemented:</w:t>
      </w:r>
    </w:p>
    <w:tbl>
      <w:tblPr>
        <w:tblStyle w:val="TableGrid0"/>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0"/>
        <w:gridCol w:w="635"/>
      </w:tblGrid>
      <w:tr w:rsidR="006400CE" w14:paraId="124406CE" w14:textId="77777777" w:rsidTr="006400CE">
        <w:trPr>
          <w:trHeight w:val="505"/>
        </w:trPr>
        <w:tc>
          <w:tcPr>
            <w:tcW w:w="7930" w:type="dxa"/>
          </w:tcPr>
          <w:p w14:paraId="126F8CDD" w14:textId="28592EC2" w:rsidR="006400CE" w:rsidRDefault="006400CE" w:rsidP="006400CE">
            <w:pPr>
              <w:ind w:left="-15"/>
            </w:pPr>
            <m:oMathPara>
              <m:oMath>
                <m:r>
                  <w:rPr>
                    <w:rFonts w:ascii="Cambria Math" w:hAnsi="Cambria Math"/>
                  </w:rPr>
                  <m:t xml:space="preserve">FGS%=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m:t>
                        </m:r>
                      </m:e>
                    </m:d>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,D)</m:t>
                    </m:r>
                  </m:e>
                </m:d>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(T</m:t>
                </m:r>
                <m:r>
                  <w:rPr>
                    <w:rFonts w:ascii="Cambria Math" w:hAnsi="Cambria Math"/>
                  </w:rPr>
                  <m:t>)</m:t>
                </m:r>
              </m:oMath>
            </m:oMathPara>
          </w:p>
        </w:tc>
        <w:tc>
          <w:tcPr>
            <w:tcW w:w="628" w:type="dxa"/>
            <w:vAlign w:val="center"/>
          </w:tcPr>
          <w:p w14:paraId="5C7BBE65" w14:textId="13923232" w:rsidR="006400CE" w:rsidRDefault="006400CE" w:rsidP="006400CE">
            <w:pPr>
              <w:pStyle w:val="Caption"/>
              <w:keepNext/>
              <w:jc w:val="center"/>
            </w:pPr>
            <w:r>
              <w:fldChar w:fldCharType="begin"/>
            </w:r>
            <w:r>
              <w:instrText xml:space="preserve"> SEQ Equation \* ARABIC </w:instrText>
            </w:r>
            <w:r>
              <w:fldChar w:fldCharType="separate"/>
            </w:r>
            <w:r>
              <w:rPr>
                <w:noProof/>
              </w:rPr>
              <w:t>1</w:t>
            </w:r>
            <w:r>
              <w:fldChar w:fldCharType="end"/>
            </w:r>
          </w:p>
        </w:tc>
      </w:tr>
    </w:tbl>
    <w:p w14:paraId="19F37DEE" w14:textId="5F44FE5A" w:rsidR="00843DBA" w:rsidRDefault="00D32D4B" w:rsidP="00843DBA">
      <w:pPr>
        <w:ind w:firstLine="0"/>
      </w:pPr>
      <w:r>
        <w:t>w</w:t>
      </w:r>
      <w:r w:rsidR="00843DBA">
        <w:t xml:space="preserve">here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843DBA">
        <w:t xml:space="preserve"> is the fission density, </w:t>
      </w:r>
      <m:oMath>
        <m:r>
          <w:rPr>
            <w:rFonts w:ascii="Cambria Math" w:hAnsi="Cambria Math"/>
          </w:rPr>
          <m:t>D</m:t>
        </m:r>
      </m:oMath>
      <w:r w:rsidR="00843DBA">
        <w:t xml:space="preserve"> is the initial grain size, </w:t>
      </w:r>
      <m:oMath>
        <m:acc>
          <m:accPr>
            <m:chr m:val="̇"/>
            <m:ctrlPr>
              <w:rPr>
                <w:rFonts w:ascii="Cambria Math" w:hAnsi="Cambria Math"/>
                <w:i/>
              </w:rPr>
            </m:ctrlPr>
          </m:accPr>
          <m:e>
            <m:r>
              <w:rPr>
                <w:rFonts w:ascii="Cambria Math" w:hAnsi="Cambria Math"/>
              </w:rPr>
              <m:t>f</m:t>
            </m:r>
          </m:e>
        </m:acc>
      </m:oMath>
      <w:r w:rsidR="00843DBA">
        <w:t xml:space="preserve"> is the fission rate density, and </w:t>
      </w:r>
      <m:oMath>
        <m:r>
          <w:rPr>
            <w:rFonts w:ascii="Cambria Math" w:hAnsi="Cambria Math"/>
          </w:rPr>
          <m:t>T</m:t>
        </m:r>
      </m:oMath>
      <w:r w:rsidR="00843DBA">
        <w:t xml:space="preserve"> is the temperature.</w:t>
      </w:r>
    </w:p>
    <w:p w14:paraId="4A3F5BF0" w14:textId="6076FD17" w:rsidR="0013563F" w:rsidRDefault="00843DBA" w:rsidP="00843DBA">
      <w:pPr>
        <w:ind w:firstLine="0"/>
      </w:pPr>
      <w:r>
        <w:t xml:space="preserve">The function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t>,</w:t>
      </w:r>
      <w:r>
        <w:t xml:space="preserve"> </w:t>
      </w:r>
      <w:r>
        <w:t xml:space="preserve">and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 xml:space="preserve"> </w:t>
      </w:r>
      <w:r>
        <w:t>are defined as:</w:t>
      </w:r>
    </w:p>
    <w:tbl>
      <w:tblPr>
        <w:tblStyle w:val="TableGrid0"/>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
        <w:gridCol w:w="7915"/>
        <w:gridCol w:w="15"/>
        <w:gridCol w:w="620"/>
        <w:gridCol w:w="15"/>
      </w:tblGrid>
      <w:tr w:rsidR="006400CE" w14:paraId="070465CD" w14:textId="77777777" w:rsidTr="00717052">
        <w:trPr>
          <w:gridAfter w:val="1"/>
          <w:wAfter w:w="15" w:type="dxa"/>
          <w:trHeight w:val="505"/>
        </w:trPr>
        <w:tc>
          <w:tcPr>
            <w:tcW w:w="7930" w:type="dxa"/>
            <w:gridSpan w:val="2"/>
          </w:tcPr>
          <w:p w14:paraId="3563867E" w14:textId="2EFD025B" w:rsidR="006400CE" w:rsidRDefault="006400CE" w:rsidP="00F5272B">
            <w:pPr>
              <w:ind w:left="-15"/>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b</m:t>
                        </m:r>
                      </m:sup>
                    </m:sSup>
                  </m:num>
                  <m:den>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D</m:t>
                                    </m:r>
                                  </m:e>
                                  <m:sup>
                                    <m:r>
                                      <w:rPr>
                                        <w:rFonts w:ascii="Cambria Math" w:hAnsi="Cambria Math"/>
                                      </w:rPr>
                                      <m:t>d</m:t>
                                    </m:r>
                                  </m:sup>
                                </m:sSup>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e×</m:t>
                                    </m:r>
                                    <m:sSup>
                                      <m:sSupPr>
                                        <m:ctrlPr>
                                          <w:rPr>
                                            <w:rFonts w:ascii="Cambria Math" w:hAnsi="Cambria Math"/>
                                            <w:i/>
                                          </w:rPr>
                                        </m:ctrlPr>
                                      </m:sSupPr>
                                      <m:e>
                                        <m:r>
                                          <w:rPr>
                                            <w:rFonts w:ascii="Cambria Math" w:hAnsi="Cambria Math"/>
                                          </w:rPr>
                                          <m:t>D</m:t>
                                        </m:r>
                                      </m:e>
                                      <m:sup>
                                        <m:r>
                                          <w:rPr>
                                            <w:rFonts w:ascii="Cambria Math" w:hAnsi="Cambria Math"/>
                                          </w:rPr>
                                          <m:t>f</m:t>
                                        </m:r>
                                      </m:sup>
                                    </m:sSup>
                                  </m:e>
                                </m:d>
                              </m:e>
                            </m:d>
                          </m:e>
                        </m:d>
                      </m:e>
                    </m:func>
                  </m:den>
                </m:f>
              </m:oMath>
            </m:oMathPara>
          </w:p>
        </w:tc>
        <w:tc>
          <w:tcPr>
            <w:tcW w:w="635" w:type="dxa"/>
            <w:gridSpan w:val="2"/>
            <w:vAlign w:val="center"/>
          </w:tcPr>
          <w:p w14:paraId="462B5262" w14:textId="336AABAE" w:rsidR="006400CE" w:rsidRDefault="006400CE" w:rsidP="00F5272B">
            <w:pPr>
              <w:pStyle w:val="Caption"/>
              <w:keepNext/>
              <w:jc w:val="center"/>
            </w:pPr>
            <w:r>
              <w:fldChar w:fldCharType="begin"/>
            </w:r>
            <w:r>
              <w:instrText xml:space="preserve"> SEQ Equation \* ARABIC </w:instrText>
            </w:r>
            <w:r>
              <w:fldChar w:fldCharType="separate"/>
            </w:r>
            <w:r>
              <w:rPr>
                <w:noProof/>
              </w:rPr>
              <w:t>2</w:t>
            </w:r>
            <w:r>
              <w:fldChar w:fldCharType="end"/>
            </w:r>
          </w:p>
        </w:tc>
      </w:tr>
      <w:tr w:rsidR="006400CE" w14:paraId="520796FB" w14:textId="77777777" w:rsidTr="00717052">
        <w:tblPrEx>
          <w:jc w:val="center"/>
          <w:tblInd w:w="0" w:type="dxa"/>
        </w:tblPrEx>
        <w:trPr>
          <w:gridBefore w:val="1"/>
          <w:wBefore w:w="15" w:type="dxa"/>
          <w:trHeight w:val="505"/>
          <w:jc w:val="center"/>
        </w:trPr>
        <w:tc>
          <w:tcPr>
            <w:tcW w:w="7930" w:type="dxa"/>
            <w:gridSpan w:val="2"/>
          </w:tcPr>
          <w:p w14:paraId="122D393A" w14:textId="44D25DE5" w:rsidR="006400CE" w:rsidRDefault="006400CE" w:rsidP="00717052">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g×</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D</m:t>
                            </m:r>
                          </m:e>
                        </m:d>
                      </m:e>
                    </m:func>
                    <m:r>
                      <w:rPr>
                        <w:rFonts w:ascii="Cambria Math" w:hAnsi="Cambria Math"/>
                      </w:rPr>
                      <m:t>+h</m:t>
                    </m:r>
                  </m:num>
                  <m:den>
                    <m:r>
                      <w:rPr>
                        <w:rFonts w:ascii="Cambria Math" w:hAnsi="Cambria Math"/>
                      </w:rPr>
                      <m:t>1+</m:t>
                    </m:r>
                    <m:r>
                      <m:rPr>
                        <m:sty m:val="p"/>
                      </m:rPr>
                      <w:rPr>
                        <w:rFonts w:ascii="Cambria Math" w:hAnsi="Cambria Math"/>
                      </w:rPr>
                      <m:t>exp⁡</m:t>
                    </m:r>
                    <m:r>
                      <w:rPr>
                        <w:rFonts w:ascii="Cambria Math" w:hAnsi="Cambria Math"/>
                      </w:rPr>
                      <m:t>(-(j×</m:t>
                    </m:r>
                    <m:sSup>
                      <m:sSupPr>
                        <m:ctrlPr>
                          <w:rPr>
                            <w:rFonts w:ascii="Cambria Math" w:hAnsi="Cambria Math"/>
                            <w:i/>
                          </w:rPr>
                        </m:ctrlPr>
                      </m:sSupPr>
                      <m:e>
                        <m:r>
                          <w:rPr>
                            <w:rFonts w:ascii="Cambria Math" w:hAnsi="Cambria Math"/>
                          </w:rPr>
                          <m:t>D</m:t>
                        </m:r>
                      </m:e>
                      <m:sup>
                        <m:r>
                          <w:rPr>
                            <w:rFonts w:ascii="Cambria Math" w:hAnsi="Cambria Math"/>
                          </w:rPr>
                          <m:t>k</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m:t>
                            </m:r>
                          </m:sup>
                        </m:sSup>
                      </m:e>
                    </m:d>
                    <m:r>
                      <w:rPr>
                        <w:rFonts w:ascii="Cambria Math" w:hAnsi="Cambria Math"/>
                      </w:rPr>
                      <m:t>)</m:t>
                    </m:r>
                  </m:den>
                </m:f>
              </m:oMath>
            </m:oMathPara>
          </w:p>
        </w:tc>
        <w:tc>
          <w:tcPr>
            <w:tcW w:w="635" w:type="dxa"/>
            <w:gridSpan w:val="2"/>
            <w:vAlign w:val="center"/>
          </w:tcPr>
          <w:p w14:paraId="6BF93232" w14:textId="77777777" w:rsidR="006400CE" w:rsidRDefault="006400CE" w:rsidP="00F5272B">
            <w:pPr>
              <w:pStyle w:val="Caption"/>
              <w:keepNext/>
              <w:jc w:val="center"/>
            </w:pPr>
            <w:r>
              <w:fldChar w:fldCharType="begin"/>
            </w:r>
            <w:r>
              <w:instrText xml:space="preserve"> SEQ Equation \* ARABIC </w:instrText>
            </w:r>
            <w:r>
              <w:fldChar w:fldCharType="separate"/>
            </w:r>
            <w:r>
              <w:rPr>
                <w:noProof/>
              </w:rPr>
              <w:t>3</w:t>
            </w:r>
            <w:r>
              <w:fldChar w:fldCharType="end"/>
            </w:r>
          </w:p>
        </w:tc>
      </w:tr>
      <w:tr w:rsidR="006400CE" w14:paraId="0DBBB672" w14:textId="77777777" w:rsidTr="00717052">
        <w:trPr>
          <w:gridBefore w:val="1"/>
          <w:wBefore w:w="15" w:type="dxa"/>
          <w:trHeight w:val="405"/>
        </w:trPr>
        <w:tc>
          <w:tcPr>
            <w:tcW w:w="7930" w:type="dxa"/>
            <w:gridSpan w:val="2"/>
          </w:tcPr>
          <w:p w14:paraId="1C78635F" w14:textId="567FF09A" w:rsidR="006400CE" w:rsidRDefault="006400CE" w:rsidP="00717052">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(-2 ×</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-1</m:t>
                        </m:r>
                      </m:e>
                    </m:d>
                    <m:r>
                      <w:rPr>
                        <w:rFonts w:ascii="Cambria Math" w:hAnsi="Cambria Math"/>
                      </w:rPr>
                      <m:t>)</m:t>
                    </m:r>
                  </m:den>
                </m:f>
              </m:oMath>
            </m:oMathPara>
          </w:p>
        </w:tc>
        <w:tc>
          <w:tcPr>
            <w:tcW w:w="635" w:type="dxa"/>
            <w:gridSpan w:val="2"/>
            <w:vAlign w:val="center"/>
          </w:tcPr>
          <w:p w14:paraId="5188F213" w14:textId="26848440" w:rsidR="006400CE" w:rsidRDefault="006400CE" w:rsidP="00F5272B">
            <w:pPr>
              <w:pStyle w:val="Caption"/>
              <w:keepNext/>
              <w:jc w:val="center"/>
            </w:pPr>
            <w:r>
              <w:fldChar w:fldCharType="begin"/>
            </w:r>
            <w:r>
              <w:instrText xml:space="preserve"> SEQ Equation \* ARABIC </w:instrText>
            </w:r>
            <w:r>
              <w:fldChar w:fldCharType="separate"/>
            </w:r>
            <w:r w:rsidR="00717052">
              <w:rPr>
                <w:noProof/>
              </w:rPr>
              <w:t>4</w:t>
            </w:r>
            <w:r>
              <w:fldChar w:fldCharType="end"/>
            </w:r>
          </w:p>
        </w:tc>
      </w:tr>
    </w:tbl>
    <w:p w14:paraId="6D00CCAC" w14:textId="4CB793EF" w:rsidR="00717052" w:rsidRDefault="00D32D4B" w:rsidP="00843DBA">
      <w:pPr>
        <w:ind w:firstLine="0"/>
      </w:pPr>
      <w:r>
        <w:t>w</w:t>
      </w:r>
      <w:r w:rsidR="00843DBA">
        <w:t xml:space="preserve">here the coefficients </w:t>
      </w:r>
      <w:r w:rsidR="00843DBA">
        <w:rPr>
          <w:i/>
          <w:iCs/>
        </w:rPr>
        <w:t>a</w:t>
      </w:r>
      <w:r w:rsidR="00843DBA">
        <w:t xml:space="preserve"> through </w:t>
      </w:r>
      <w:r>
        <w:rPr>
          <w:i/>
          <w:iCs/>
        </w:rPr>
        <w:t>m</w:t>
      </w:r>
      <w:r>
        <w:t xml:space="preserve"> are fitting parameters. The denominator in both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t xml:space="preserve"> operate as the Heaviside step function. The cutoff function,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t xml:space="preserve">, enforces that as the fission density approaches zero, the swelling approaches zero. </w:t>
      </w:r>
    </w:p>
    <w:p w14:paraId="39B31E67" w14:textId="2DFEC846" w:rsidR="00717052" w:rsidRPr="00885D49" w:rsidRDefault="00717052" w:rsidP="00843DBA">
      <w:pPr>
        <w:ind w:firstLine="0"/>
      </w:pPr>
      <w:r>
        <w:t xml:space="preserve">The fitting procedure is undertaken to minimize </w:t>
      </w:r>
      <w:r w:rsidR="008F1F28" w:rsidRPr="008F1F28">
        <w:t>the sum of the squares of the residuals</w:t>
      </w:r>
      <w:r w:rsidR="008F1F28">
        <w:t xml:space="preserve"> for each data point. An initially null (all zeros) guess is provided, and a random step is given to each parameter. The total error against all data points (408 data points, 136 for each grain size) is compared to the error at the previous step, and the new coefficients are saved if the error is reduced. </w:t>
      </w:r>
      <w:r w:rsidR="008F1F28">
        <w:lastRenderedPageBreak/>
        <w:t>If the error is increased</w:t>
      </w:r>
      <w:r w:rsidR="00885D49">
        <w:t xml:space="preserve"> due to the new coefficients</w:t>
      </w:r>
      <w:r w:rsidR="008F1F28">
        <w:t xml:space="preserve">, a probability </w:t>
      </w:r>
      <w:r w:rsidR="00885D49">
        <w:t>function based upon the difference between the previous error and the current error is employed (</w:t>
      </w:r>
      <m:oMath>
        <m:r>
          <w:rPr>
            <w:rFonts w:ascii="Cambria Math" w:hAnsi="Cambria Math"/>
          </w:rPr>
          <m:t>P=</m:t>
        </m:r>
        <m:r>
          <m:rPr>
            <m:sty m:val="p"/>
          </m:rPr>
          <w:rPr>
            <w:rFonts w:ascii="Cambria Math" w:hAnsi="Cambria Math"/>
          </w:rPr>
          <m:t>exp⁡</m:t>
        </m:r>
        <m:r>
          <w:rPr>
            <w:rFonts w:ascii="Cambria Math" w:hAnsi="Cambria Math"/>
          </w:rPr>
          <m:t>(-10×∆err)</m:t>
        </m:r>
      </m:oMath>
      <w:r w:rsidR="00885D49">
        <w:t>) to allow more flexibility in the evolution of coefficients. An R</w:t>
      </w:r>
      <w:r w:rsidR="00885D49">
        <w:rPr>
          <w:vertAlign w:val="superscript"/>
        </w:rPr>
        <w:t>2</w:t>
      </w:r>
      <w:r w:rsidR="00885D49">
        <w:t xml:space="preserve"> value of greater than 0.99 is achieved in the fitting process, with the corresponding coefficients provided in </w:t>
      </w:r>
      <w:fldSimple w:instr=" REF _Ref82424165 ">
        <w:r w:rsidR="00885D49">
          <w:t xml:space="preserve">Table </w:t>
        </w:r>
        <w:r w:rsidR="00885D49">
          <w:rPr>
            <w:noProof/>
          </w:rPr>
          <w:t>1</w:t>
        </w:r>
      </w:fldSimple>
      <w:r w:rsidR="00885D49">
        <w:t xml:space="preserve">. </w:t>
      </w:r>
    </w:p>
    <w:p w14:paraId="5C5964D1" w14:textId="77777777" w:rsidR="00885D49" w:rsidRDefault="00885D49" w:rsidP="00885D49">
      <w:pPr>
        <w:pStyle w:val="Caption"/>
        <w:keepNext/>
      </w:pPr>
      <w:bookmarkStart w:id="1" w:name="_Ref82424165"/>
      <w:r>
        <w:t xml:space="preserve">Table </w:t>
      </w:r>
      <w:r>
        <w:fldChar w:fldCharType="begin"/>
      </w:r>
      <w:r>
        <w:instrText xml:space="preserve"> SEQ Table \* ARABIC </w:instrText>
      </w:r>
      <w:r>
        <w:fldChar w:fldCharType="separate"/>
      </w:r>
      <w:r>
        <w:rPr>
          <w:noProof/>
        </w:rPr>
        <w:t>1</w:t>
      </w:r>
      <w:r>
        <w:fldChar w:fldCharType="end"/>
      </w:r>
      <w:bookmarkEnd w:id="1"/>
      <w:r>
        <w:t>. Fitting coefficients for the fission gas swelling as a function of grain size and fission density.</w:t>
      </w:r>
    </w:p>
    <w:tbl>
      <w:tblPr>
        <w:tblStyle w:val="TableGrid"/>
        <w:tblW w:w="0" w:type="auto"/>
        <w:tblInd w:w="3130" w:type="dxa"/>
        <w:tblCellMar>
          <w:top w:w="39" w:type="dxa"/>
          <w:left w:w="120" w:type="dxa"/>
          <w:right w:w="115" w:type="dxa"/>
        </w:tblCellMar>
        <w:tblLook w:val="04A0" w:firstRow="1" w:lastRow="0" w:firstColumn="1" w:lastColumn="0" w:noHBand="0" w:noVBand="1"/>
      </w:tblPr>
      <w:tblGrid>
        <w:gridCol w:w="1225"/>
        <w:gridCol w:w="1079"/>
      </w:tblGrid>
      <w:tr w:rsidR="00885D49" w14:paraId="40F5C184" w14:textId="77777777" w:rsidTr="00F5272B">
        <w:trPr>
          <w:trHeight w:val="279"/>
        </w:trPr>
        <w:tc>
          <w:tcPr>
            <w:tcW w:w="0" w:type="auto"/>
            <w:tcBorders>
              <w:top w:val="single" w:sz="3" w:space="0" w:color="000000"/>
              <w:left w:val="single" w:sz="3" w:space="0" w:color="000000"/>
              <w:bottom w:val="single" w:sz="3" w:space="0" w:color="000000"/>
              <w:right w:val="single" w:sz="3" w:space="0" w:color="000000"/>
            </w:tcBorders>
            <w:vAlign w:val="center"/>
          </w:tcPr>
          <w:p w14:paraId="6C7D8994" w14:textId="77777777" w:rsidR="00885D49" w:rsidRDefault="00885D49" w:rsidP="00F5272B">
            <w:pPr>
              <w:spacing w:before="0" w:after="0" w:line="240" w:lineRule="auto"/>
              <w:ind w:firstLine="0"/>
              <w:jc w:val="center"/>
            </w:pPr>
            <w:r>
              <w:t>Coefficient</w:t>
            </w:r>
          </w:p>
        </w:tc>
        <w:tc>
          <w:tcPr>
            <w:tcW w:w="0" w:type="auto"/>
            <w:tcBorders>
              <w:top w:val="single" w:sz="3" w:space="0" w:color="000000"/>
              <w:left w:val="single" w:sz="3" w:space="0" w:color="000000"/>
              <w:bottom w:val="single" w:sz="3" w:space="0" w:color="000000"/>
              <w:right w:val="single" w:sz="3" w:space="0" w:color="000000"/>
            </w:tcBorders>
            <w:vAlign w:val="center"/>
          </w:tcPr>
          <w:p w14:paraId="2713E2EF" w14:textId="77777777" w:rsidR="00885D49" w:rsidRDefault="00885D49" w:rsidP="00F5272B">
            <w:pPr>
              <w:spacing w:before="0" w:after="0" w:line="240" w:lineRule="auto"/>
              <w:ind w:right="4" w:firstLine="0"/>
              <w:jc w:val="center"/>
            </w:pPr>
            <w:r>
              <w:t>Value</w:t>
            </w:r>
          </w:p>
        </w:tc>
      </w:tr>
      <w:tr w:rsidR="00885D49" w14:paraId="2237BA68" w14:textId="77777777" w:rsidTr="00F5272B">
        <w:trPr>
          <w:trHeight w:val="275"/>
        </w:trPr>
        <w:tc>
          <w:tcPr>
            <w:tcW w:w="0" w:type="auto"/>
            <w:tcBorders>
              <w:top w:val="single" w:sz="3" w:space="0" w:color="000000"/>
              <w:left w:val="single" w:sz="3" w:space="0" w:color="000000"/>
              <w:bottom w:val="nil"/>
              <w:right w:val="single" w:sz="3" w:space="0" w:color="000000"/>
            </w:tcBorders>
            <w:vAlign w:val="center"/>
          </w:tcPr>
          <w:p w14:paraId="2F0DC4DD" w14:textId="77777777" w:rsidR="00885D49" w:rsidRDefault="00885D49" w:rsidP="00F5272B">
            <w:pPr>
              <w:spacing w:before="0" w:after="0" w:line="240" w:lineRule="auto"/>
              <w:ind w:right="4" w:firstLine="0"/>
              <w:jc w:val="center"/>
            </w:pPr>
            <w:r>
              <w:t>a</w:t>
            </w:r>
          </w:p>
        </w:tc>
        <w:tc>
          <w:tcPr>
            <w:tcW w:w="0" w:type="auto"/>
            <w:tcBorders>
              <w:top w:val="single" w:sz="3" w:space="0" w:color="000000"/>
              <w:left w:val="single" w:sz="3" w:space="0" w:color="000000"/>
              <w:bottom w:val="nil"/>
              <w:right w:val="single" w:sz="3" w:space="0" w:color="000000"/>
            </w:tcBorders>
            <w:vAlign w:val="center"/>
          </w:tcPr>
          <w:p w14:paraId="3E4618F1" w14:textId="77777777" w:rsidR="00885D49" w:rsidRPr="008512BF" w:rsidRDefault="00885D49" w:rsidP="00F5272B">
            <w:pPr>
              <w:spacing w:before="0" w:after="0" w:line="240" w:lineRule="auto"/>
              <w:ind w:firstLine="0"/>
              <w:jc w:val="center"/>
              <w:rPr>
                <w:rFonts w:cs="Times New Roman"/>
              </w:rPr>
            </w:pPr>
            <w:r w:rsidRPr="008512BF">
              <w:rPr>
                <w:rFonts w:cs="Times New Roman"/>
              </w:rPr>
              <w:t>14.55352</w:t>
            </w:r>
          </w:p>
        </w:tc>
      </w:tr>
      <w:tr w:rsidR="00885D49" w14:paraId="2687D65D" w14:textId="77777777" w:rsidTr="00F5272B">
        <w:trPr>
          <w:trHeight w:val="271"/>
        </w:trPr>
        <w:tc>
          <w:tcPr>
            <w:tcW w:w="0" w:type="auto"/>
            <w:tcBorders>
              <w:top w:val="nil"/>
              <w:left w:val="single" w:sz="3" w:space="0" w:color="000000"/>
              <w:bottom w:val="nil"/>
              <w:right w:val="single" w:sz="3" w:space="0" w:color="000000"/>
            </w:tcBorders>
            <w:vAlign w:val="center"/>
          </w:tcPr>
          <w:p w14:paraId="4EF6EDFD" w14:textId="77777777" w:rsidR="00885D49" w:rsidRDefault="00885D49" w:rsidP="00F5272B">
            <w:pPr>
              <w:spacing w:before="0" w:after="0" w:line="240" w:lineRule="auto"/>
              <w:ind w:right="4" w:firstLine="0"/>
              <w:jc w:val="center"/>
            </w:pPr>
            <w:r>
              <w:t>b</w:t>
            </w:r>
          </w:p>
        </w:tc>
        <w:tc>
          <w:tcPr>
            <w:tcW w:w="0" w:type="auto"/>
            <w:tcBorders>
              <w:top w:val="nil"/>
              <w:left w:val="single" w:sz="3" w:space="0" w:color="000000"/>
              <w:bottom w:val="nil"/>
              <w:right w:val="single" w:sz="3" w:space="0" w:color="000000"/>
            </w:tcBorders>
            <w:vAlign w:val="center"/>
          </w:tcPr>
          <w:p w14:paraId="7214E450" w14:textId="77777777" w:rsidR="00885D49" w:rsidRPr="008512BF" w:rsidRDefault="00885D49" w:rsidP="00F5272B">
            <w:pPr>
              <w:spacing w:before="0" w:after="0" w:line="240" w:lineRule="auto"/>
              <w:ind w:left="55" w:firstLine="0"/>
              <w:jc w:val="center"/>
              <w:rPr>
                <w:rFonts w:cs="Times New Roman"/>
              </w:rPr>
            </w:pPr>
            <w:r w:rsidRPr="008512BF">
              <w:rPr>
                <w:rFonts w:cs="Times New Roman"/>
              </w:rPr>
              <w:t>-0.13102</w:t>
            </w:r>
          </w:p>
        </w:tc>
      </w:tr>
      <w:tr w:rsidR="00885D49" w14:paraId="2BE9299C" w14:textId="77777777" w:rsidTr="00F5272B">
        <w:trPr>
          <w:trHeight w:val="271"/>
        </w:trPr>
        <w:tc>
          <w:tcPr>
            <w:tcW w:w="0" w:type="auto"/>
            <w:tcBorders>
              <w:top w:val="nil"/>
              <w:left w:val="single" w:sz="3" w:space="0" w:color="000000"/>
              <w:bottom w:val="nil"/>
              <w:right w:val="single" w:sz="3" w:space="0" w:color="000000"/>
            </w:tcBorders>
            <w:vAlign w:val="center"/>
          </w:tcPr>
          <w:p w14:paraId="443766A8" w14:textId="77777777" w:rsidR="00885D49" w:rsidRDefault="00885D49" w:rsidP="00F5272B">
            <w:pPr>
              <w:spacing w:before="0" w:after="0" w:line="240" w:lineRule="auto"/>
              <w:ind w:right="4" w:firstLine="0"/>
              <w:jc w:val="center"/>
            </w:pPr>
            <w:r>
              <w:t>c</w:t>
            </w:r>
          </w:p>
        </w:tc>
        <w:tc>
          <w:tcPr>
            <w:tcW w:w="0" w:type="auto"/>
            <w:tcBorders>
              <w:top w:val="nil"/>
              <w:left w:val="single" w:sz="3" w:space="0" w:color="000000"/>
              <w:bottom w:val="nil"/>
              <w:right w:val="single" w:sz="3" w:space="0" w:color="000000"/>
            </w:tcBorders>
            <w:vAlign w:val="center"/>
          </w:tcPr>
          <w:p w14:paraId="1C6A0FB4" w14:textId="77777777" w:rsidR="00885D49" w:rsidRPr="008512BF" w:rsidRDefault="00885D49" w:rsidP="00F5272B">
            <w:pPr>
              <w:spacing w:before="0" w:after="0" w:line="240" w:lineRule="auto"/>
              <w:ind w:right="4" w:firstLine="0"/>
              <w:jc w:val="center"/>
              <w:rPr>
                <w:rFonts w:cs="Times New Roman"/>
              </w:rPr>
            </w:pPr>
            <w:r w:rsidRPr="008512BF">
              <w:rPr>
                <w:rFonts w:cs="Times New Roman"/>
              </w:rPr>
              <w:t>3.18009</w:t>
            </w:r>
          </w:p>
        </w:tc>
      </w:tr>
      <w:tr w:rsidR="00885D49" w14:paraId="2B5B054C" w14:textId="77777777" w:rsidTr="00F5272B">
        <w:trPr>
          <w:trHeight w:val="271"/>
        </w:trPr>
        <w:tc>
          <w:tcPr>
            <w:tcW w:w="0" w:type="auto"/>
            <w:tcBorders>
              <w:top w:val="nil"/>
              <w:left w:val="single" w:sz="3" w:space="0" w:color="000000"/>
              <w:bottom w:val="nil"/>
              <w:right w:val="single" w:sz="3" w:space="0" w:color="000000"/>
            </w:tcBorders>
            <w:vAlign w:val="center"/>
          </w:tcPr>
          <w:p w14:paraId="2AEE0882" w14:textId="77777777" w:rsidR="00885D49" w:rsidRDefault="00885D49" w:rsidP="00F5272B">
            <w:pPr>
              <w:spacing w:before="0" w:after="0" w:line="240" w:lineRule="auto"/>
              <w:ind w:right="4" w:firstLine="0"/>
              <w:jc w:val="center"/>
            </w:pPr>
            <w:r>
              <w:t>d</w:t>
            </w:r>
          </w:p>
        </w:tc>
        <w:tc>
          <w:tcPr>
            <w:tcW w:w="0" w:type="auto"/>
            <w:tcBorders>
              <w:top w:val="nil"/>
              <w:left w:val="single" w:sz="3" w:space="0" w:color="000000"/>
              <w:bottom w:val="nil"/>
              <w:right w:val="single" w:sz="3" w:space="0" w:color="000000"/>
            </w:tcBorders>
            <w:vAlign w:val="center"/>
          </w:tcPr>
          <w:p w14:paraId="08C93DF8" w14:textId="77777777" w:rsidR="00885D49" w:rsidRPr="008512BF" w:rsidRDefault="00885D49" w:rsidP="00F5272B">
            <w:pPr>
              <w:spacing w:before="0" w:after="0" w:line="240" w:lineRule="auto"/>
              <w:ind w:left="18" w:firstLine="0"/>
              <w:jc w:val="center"/>
              <w:rPr>
                <w:rFonts w:cs="Times New Roman"/>
              </w:rPr>
            </w:pPr>
            <w:r w:rsidRPr="008512BF">
              <w:rPr>
                <w:rFonts w:cs="Times New Roman"/>
              </w:rPr>
              <w:t>-0.45099</w:t>
            </w:r>
          </w:p>
        </w:tc>
      </w:tr>
      <w:tr w:rsidR="00885D49" w14:paraId="565B1901" w14:textId="77777777" w:rsidTr="00F5272B">
        <w:trPr>
          <w:trHeight w:val="271"/>
        </w:trPr>
        <w:tc>
          <w:tcPr>
            <w:tcW w:w="0" w:type="auto"/>
            <w:tcBorders>
              <w:top w:val="nil"/>
              <w:left w:val="single" w:sz="3" w:space="0" w:color="000000"/>
              <w:bottom w:val="nil"/>
              <w:right w:val="single" w:sz="3" w:space="0" w:color="000000"/>
            </w:tcBorders>
            <w:vAlign w:val="center"/>
          </w:tcPr>
          <w:p w14:paraId="5DE702E8" w14:textId="77777777" w:rsidR="00885D49" w:rsidRDefault="00885D49" w:rsidP="00F5272B">
            <w:pPr>
              <w:spacing w:before="0" w:after="0" w:line="240" w:lineRule="auto"/>
              <w:ind w:right="4" w:firstLine="0"/>
              <w:jc w:val="center"/>
            </w:pPr>
            <w:r>
              <w:t>e</w:t>
            </w:r>
          </w:p>
        </w:tc>
        <w:tc>
          <w:tcPr>
            <w:tcW w:w="0" w:type="auto"/>
            <w:tcBorders>
              <w:top w:val="nil"/>
              <w:left w:val="single" w:sz="3" w:space="0" w:color="000000"/>
              <w:bottom w:val="nil"/>
              <w:right w:val="single" w:sz="3" w:space="0" w:color="000000"/>
            </w:tcBorders>
            <w:vAlign w:val="center"/>
          </w:tcPr>
          <w:p w14:paraId="0267775F" w14:textId="77777777" w:rsidR="00885D49" w:rsidRPr="008512BF" w:rsidRDefault="00885D49" w:rsidP="00F5272B">
            <w:pPr>
              <w:spacing w:before="0" w:after="0" w:line="240" w:lineRule="auto"/>
              <w:ind w:left="55" w:firstLine="0"/>
              <w:jc w:val="center"/>
              <w:rPr>
                <w:rFonts w:cs="Times New Roman"/>
              </w:rPr>
            </w:pPr>
            <w:r w:rsidRPr="008512BF">
              <w:rPr>
                <w:rFonts w:cs="Times New Roman"/>
              </w:rPr>
              <w:t>3.51274</w:t>
            </w:r>
          </w:p>
        </w:tc>
      </w:tr>
      <w:tr w:rsidR="00885D49" w14:paraId="75F9022C" w14:textId="77777777" w:rsidTr="00F5272B">
        <w:trPr>
          <w:trHeight w:val="271"/>
        </w:trPr>
        <w:tc>
          <w:tcPr>
            <w:tcW w:w="0" w:type="auto"/>
            <w:tcBorders>
              <w:top w:val="nil"/>
              <w:left w:val="single" w:sz="3" w:space="0" w:color="000000"/>
              <w:bottom w:val="nil"/>
              <w:right w:val="single" w:sz="3" w:space="0" w:color="000000"/>
            </w:tcBorders>
            <w:vAlign w:val="center"/>
          </w:tcPr>
          <w:p w14:paraId="7FDB1C9E" w14:textId="77777777" w:rsidR="00885D49" w:rsidRDefault="00885D49" w:rsidP="00F5272B">
            <w:pPr>
              <w:spacing w:before="0" w:after="0" w:line="240" w:lineRule="auto"/>
              <w:ind w:right="4" w:firstLine="0"/>
              <w:jc w:val="center"/>
            </w:pPr>
            <w:r>
              <w:t>f</w:t>
            </w:r>
          </w:p>
        </w:tc>
        <w:tc>
          <w:tcPr>
            <w:tcW w:w="0" w:type="auto"/>
            <w:tcBorders>
              <w:top w:val="nil"/>
              <w:left w:val="single" w:sz="3" w:space="0" w:color="000000"/>
              <w:bottom w:val="nil"/>
              <w:right w:val="single" w:sz="3" w:space="0" w:color="000000"/>
            </w:tcBorders>
            <w:vAlign w:val="center"/>
          </w:tcPr>
          <w:p w14:paraId="13E5E7C4" w14:textId="77777777" w:rsidR="00885D49" w:rsidRPr="008512BF" w:rsidRDefault="00885D49" w:rsidP="00F5272B">
            <w:pPr>
              <w:spacing w:before="0" w:after="0" w:line="240" w:lineRule="auto"/>
              <w:ind w:left="55" w:firstLine="0"/>
              <w:jc w:val="center"/>
              <w:rPr>
                <w:rFonts w:cs="Times New Roman"/>
              </w:rPr>
            </w:pPr>
            <w:r w:rsidRPr="008512BF">
              <w:rPr>
                <w:rFonts w:cs="Times New Roman"/>
              </w:rPr>
              <w:t>0.23686</w:t>
            </w:r>
          </w:p>
        </w:tc>
      </w:tr>
      <w:tr w:rsidR="00885D49" w14:paraId="2E8CABFB" w14:textId="77777777" w:rsidTr="00F5272B">
        <w:trPr>
          <w:trHeight w:val="271"/>
        </w:trPr>
        <w:tc>
          <w:tcPr>
            <w:tcW w:w="0" w:type="auto"/>
            <w:tcBorders>
              <w:top w:val="nil"/>
              <w:left w:val="single" w:sz="3" w:space="0" w:color="000000"/>
              <w:bottom w:val="nil"/>
              <w:right w:val="single" w:sz="3" w:space="0" w:color="000000"/>
            </w:tcBorders>
            <w:vAlign w:val="center"/>
          </w:tcPr>
          <w:p w14:paraId="6CD5461F" w14:textId="77777777" w:rsidR="00885D49" w:rsidRDefault="00885D49" w:rsidP="00F5272B">
            <w:pPr>
              <w:spacing w:before="0" w:after="0" w:line="240" w:lineRule="auto"/>
              <w:ind w:right="4" w:firstLine="0"/>
              <w:jc w:val="center"/>
            </w:pPr>
            <w:r>
              <w:t>g</w:t>
            </w:r>
          </w:p>
        </w:tc>
        <w:tc>
          <w:tcPr>
            <w:tcW w:w="0" w:type="auto"/>
            <w:tcBorders>
              <w:top w:val="nil"/>
              <w:left w:val="single" w:sz="3" w:space="0" w:color="000000"/>
              <w:bottom w:val="nil"/>
              <w:right w:val="single" w:sz="3" w:space="0" w:color="000000"/>
            </w:tcBorders>
            <w:vAlign w:val="center"/>
          </w:tcPr>
          <w:p w14:paraId="4CF00215" w14:textId="77777777" w:rsidR="00885D49" w:rsidRPr="008512BF" w:rsidRDefault="00885D49" w:rsidP="00F5272B">
            <w:pPr>
              <w:spacing w:before="0" w:after="0" w:line="240" w:lineRule="auto"/>
              <w:ind w:left="55" w:firstLine="0"/>
              <w:jc w:val="center"/>
              <w:rPr>
                <w:rFonts w:cs="Times New Roman"/>
              </w:rPr>
            </w:pPr>
            <w:r w:rsidRPr="008512BF">
              <w:rPr>
                <w:rFonts w:cs="Times New Roman"/>
              </w:rPr>
              <w:t>16.1437</w:t>
            </w:r>
          </w:p>
        </w:tc>
      </w:tr>
      <w:tr w:rsidR="00885D49" w14:paraId="5C123672" w14:textId="77777777" w:rsidTr="00F5272B">
        <w:trPr>
          <w:trHeight w:val="271"/>
        </w:trPr>
        <w:tc>
          <w:tcPr>
            <w:tcW w:w="0" w:type="auto"/>
            <w:tcBorders>
              <w:top w:val="nil"/>
              <w:left w:val="single" w:sz="3" w:space="0" w:color="000000"/>
              <w:bottom w:val="nil"/>
              <w:right w:val="single" w:sz="3" w:space="0" w:color="000000"/>
            </w:tcBorders>
            <w:vAlign w:val="center"/>
          </w:tcPr>
          <w:p w14:paraId="65AE998B" w14:textId="77777777" w:rsidR="00885D49" w:rsidRDefault="00885D49" w:rsidP="00F5272B">
            <w:pPr>
              <w:spacing w:before="0" w:after="0" w:line="240" w:lineRule="auto"/>
              <w:ind w:right="4" w:firstLine="0"/>
              <w:jc w:val="center"/>
            </w:pPr>
            <w:r>
              <w:t>h</w:t>
            </w:r>
          </w:p>
        </w:tc>
        <w:tc>
          <w:tcPr>
            <w:tcW w:w="0" w:type="auto"/>
            <w:tcBorders>
              <w:top w:val="nil"/>
              <w:left w:val="single" w:sz="3" w:space="0" w:color="000000"/>
              <w:bottom w:val="nil"/>
              <w:right w:val="single" w:sz="3" w:space="0" w:color="000000"/>
            </w:tcBorders>
            <w:vAlign w:val="center"/>
          </w:tcPr>
          <w:p w14:paraId="76454FC5" w14:textId="77777777" w:rsidR="00885D49" w:rsidRPr="008512BF" w:rsidRDefault="00885D49" w:rsidP="00F5272B">
            <w:pPr>
              <w:spacing w:before="0" w:after="0" w:line="240" w:lineRule="auto"/>
              <w:ind w:left="18" w:firstLine="0"/>
              <w:jc w:val="center"/>
              <w:rPr>
                <w:rFonts w:cs="Times New Roman"/>
              </w:rPr>
            </w:pPr>
            <w:r w:rsidRPr="008512BF">
              <w:rPr>
                <w:rFonts w:cs="Times New Roman"/>
              </w:rPr>
              <w:t>15.87839</w:t>
            </w:r>
          </w:p>
        </w:tc>
      </w:tr>
      <w:tr w:rsidR="00885D49" w14:paraId="7F038929" w14:textId="77777777" w:rsidTr="00F5272B">
        <w:trPr>
          <w:trHeight w:val="271"/>
        </w:trPr>
        <w:tc>
          <w:tcPr>
            <w:tcW w:w="0" w:type="auto"/>
            <w:tcBorders>
              <w:top w:val="nil"/>
              <w:left w:val="single" w:sz="3" w:space="0" w:color="000000"/>
              <w:bottom w:val="nil"/>
              <w:right w:val="single" w:sz="3" w:space="0" w:color="000000"/>
            </w:tcBorders>
            <w:vAlign w:val="center"/>
          </w:tcPr>
          <w:p w14:paraId="41BF933F" w14:textId="77777777" w:rsidR="00885D49" w:rsidRDefault="00885D49" w:rsidP="00F5272B">
            <w:pPr>
              <w:spacing w:before="0" w:after="0" w:line="240" w:lineRule="auto"/>
              <w:ind w:right="4" w:firstLine="0"/>
              <w:jc w:val="center"/>
            </w:pPr>
            <w:r>
              <w:t>j</w:t>
            </w:r>
          </w:p>
        </w:tc>
        <w:tc>
          <w:tcPr>
            <w:tcW w:w="0" w:type="auto"/>
            <w:tcBorders>
              <w:top w:val="nil"/>
              <w:left w:val="single" w:sz="3" w:space="0" w:color="000000"/>
              <w:bottom w:val="nil"/>
              <w:right w:val="single" w:sz="3" w:space="0" w:color="000000"/>
            </w:tcBorders>
            <w:vAlign w:val="center"/>
          </w:tcPr>
          <w:p w14:paraId="6D80BDF0" w14:textId="77777777" w:rsidR="00885D49" w:rsidRPr="008512BF" w:rsidRDefault="00885D49" w:rsidP="00F5272B">
            <w:pPr>
              <w:spacing w:before="0" w:after="0" w:line="240" w:lineRule="auto"/>
              <w:ind w:left="55" w:firstLine="0"/>
              <w:jc w:val="center"/>
              <w:rPr>
                <w:rFonts w:cs="Times New Roman"/>
              </w:rPr>
            </w:pPr>
            <w:r w:rsidRPr="008512BF">
              <w:rPr>
                <w:rFonts w:cs="Times New Roman"/>
              </w:rPr>
              <w:t>3.18205</w:t>
            </w:r>
          </w:p>
        </w:tc>
      </w:tr>
      <w:tr w:rsidR="00885D49" w14:paraId="78D9A874" w14:textId="77777777" w:rsidTr="00F5272B">
        <w:trPr>
          <w:trHeight w:val="271"/>
        </w:trPr>
        <w:tc>
          <w:tcPr>
            <w:tcW w:w="0" w:type="auto"/>
            <w:tcBorders>
              <w:top w:val="nil"/>
              <w:left w:val="single" w:sz="3" w:space="0" w:color="000000"/>
              <w:bottom w:val="nil"/>
              <w:right w:val="single" w:sz="3" w:space="0" w:color="000000"/>
            </w:tcBorders>
            <w:vAlign w:val="center"/>
          </w:tcPr>
          <w:p w14:paraId="45B1D62A" w14:textId="77777777" w:rsidR="00885D49" w:rsidRDefault="00885D49" w:rsidP="00F5272B">
            <w:pPr>
              <w:spacing w:before="0" w:after="0" w:line="240" w:lineRule="auto"/>
              <w:ind w:right="4" w:firstLine="0"/>
              <w:jc w:val="center"/>
            </w:pPr>
            <w:r>
              <w:t>k</w:t>
            </w:r>
          </w:p>
        </w:tc>
        <w:tc>
          <w:tcPr>
            <w:tcW w:w="0" w:type="auto"/>
            <w:tcBorders>
              <w:top w:val="nil"/>
              <w:left w:val="single" w:sz="3" w:space="0" w:color="000000"/>
              <w:bottom w:val="nil"/>
              <w:right w:val="single" w:sz="3" w:space="0" w:color="000000"/>
            </w:tcBorders>
            <w:vAlign w:val="center"/>
          </w:tcPr>
          <w:p w14:paraId="5271F53B" w14:textId="77777777" w:rsidR="00885D49" w:rsidRPr="008512BF" w:rsidRDefault="00885D49" w:rsidP="00F5272B">
            <w:pPr>
              <w:spacing w:before="0" w:after="0" w:line="240" w:lineRule="auto"/>
              <w:ind w:left="55" w:firstLine="0"/>
              <w:jc w:val="center"/>
              <w:rPr>
                <w:rFonts w:cs="Times New Roman"/>
              </w:rPr>
            </w:pPr>
            <w:r w:rsidRPr="008512BF">
              <w:rPr>
                <w:rFonts w:cs="Times New Roman"/>
              </w:rPr>
              <w:t>-0.92817</w:t>
            </w:r>
          </w:p>
        </w:tc>
      </w:tr>
      <w:tr w:rsidR="00885D49" w14:paraId="4D5C3C46" w14:textId="77777777" w:rsidTr="00F5272B">
        <w:trPr>
          <w:trHeight w:val="271"/>
        </w:trPr>
        <w:tc>
          <w:tcPr>
            <w:tcW w:w="0" w:type="auto"/>
            <w:tcBorders>
              <w:top w:val="nil"/>
              <w:left w:val="single" w:sz="3" w:space="0" w:color="000000"/>
              <w:bottom w:val="nil"/>
              <w:right w:val="single" w:sz="3" w:space="0" w:color="000000"/>
            </w:tcBorders>
            <w:vAlign w:val="center"/>
          </w:tcPr>
          <w:p w14:paraId="51206A0B" w14:textId="77777777" w:rsidR="00885D49" w:rsidRDefault="00885D49" w:rsidP="00F5272B">
            <w:pPr>
              <w:spacing w:before="0" w:after="0" w:line="240" w:lineRule="auto"/>
              <w:ind w:right="4" w:firstLine="0"/>
              <w:jc w:val="center"/>
            </w:pPr>
            <w:r>
              <w:t>l</w:t>
            </w:r>
          </w:p>
        </w:tc>
        <w:tc>
          <w:tcPr>
            <w:tcW w:w="0" w:type="auto"/>
            <w:tcBorders>
              <w:top w:val="nil"/>
              <w:left w:val="single" w:sz="3" w:space="0" w:color="000000"/>
              <w:bottom w:val="nil"/>
              <w:right w:val="single" w:sz="3" w:space="0" w:color="000000"/>
            </w:tcBorders>
            <w:vAlign w:val="center"/>
          </w:tcPr>
          <w:p w14:paraId="6391043B" w14:textId="77777777" w:rsidR="00885D49" w:rsidRPr="008512BF" w:rsidRDefault="00885D49" w:rsidP="00F5272B">
            <w:pPr>
              <w:spacing w:before="0" w:after="0" w:line="240" w:lineRule="auto"/>
              <w:ind w:firstLine="0"/>
              <w:jc w:val="center"/>
              <w:rPr>
                <w:rFonts w:cs="Times New Roman"/>
              </w:rPr>
            </w:pPr>
            <w:r w:rsidRPr="008512BF">
              <w:rPr>
                <w:rFonts w:cs="Times New Roman"/>
              </w:rPr>
              <w:t>0.69424</w:t>
            </w:r>
          </w:p>
        </w:tc>
      </w:tr>
      <w:tr w:rsidR="00885D49" w14:paraId="4B4ED437" w14:textId="77777777" w:rsidTr="00F5272B">
        <w:trPr>
          <w:trHeight w:val="275"/>
        </w:trPr>
        <w:tc>
          <w:tcPr>
            <w:tcW w:w="0" w:type="auto"/>
            <w:tcBorders>
              <w:top w:val="nil"/>
              <w:left w:val="single" w:sz="3" w:space="0" w:color="000000"/>
              <w:bottom w:val="single" w:sz="3" w:space="0" w:color="000000"/>
              <w:right w:val="single" w:sz="3" w:space="0" w:color="000000"/>
            </w:tcBorders>
            <w:vAlign w:val="center"/>
          </w:tcPr>
          <w:p w14:paraId="66813865" w14:textId="77777777" w:rsidR="00885D49" w:rsidRDefault="00885D49" w:rsidP="00F5272B">
            <w:pPr>
              <w:spacing w:before="0" w:after="0" w:line="240" w:lineRule="auto"/>
              <w:ind w:right="4" w:firstLine="0"/>
              <w:jc w:val="center"/>
            </w:pPr>
            <w:r>
              <w:t>m</w:t>
            </w:r>
          </w:p>
        </w:tc>
        <w:tc>
          <w:tcPr>
            <w:tcW w:w="0" w:type="auto"/>
            <w:tcBorders>
              <w:top w:val="nil"/>
              <w:left w:val="single" w:sz="3" w:space="0" w:color="000000"/>
              <w:bottom w:val="single" w:sz="3" w:space="0" w:color="000000"/>
              <w:right w:val="single" w:sz="3" w:space="0" w:color="000000"/>
            </w:tcBorders>
            <w:vAlign w:val="center"/>
          </w:tcPr>
          <w:p w14:paraId="065D7B46" w14:textId="77777777" w:rsidR="00885D49" w:rsidRPr="008512BF" w:rsidRDefault="00885D49" w:rsidP="00F5272B">
            <w:pPr>
              <w:spacing w:before="0" w:after="0" w:line="240" w:lineRule="auto"/>
              <w:ind w:firstLine="0"/>
              <w:jc w:val="center"/>
              <w:rPr>
                <w:rFonts w:cs="Times New Roman"/>
              </w:rPr>
            </w:pPr>
            <w:r w:rsidRPr="008512BF">
              <w:rPr>
                <w:rFonts w:cs="Times New Roman"/>
              </w:rPr>
              <w:t>1.17983</w:t>
            </w:r>
          </w:p>
        </w:tc>
      </w:tr>
    </w:tbl>
    <w:p w14:paraId="3AB427FC" w14:textId="52B8C131" w:rsidR="00843DBA" w:rsidRDefault="00BB3888" w:rsidP="00843DBA">
      <w:pPr>
        <w:ind w:firstLine="0"/>
      </w:pPr>
      <w:r>
        <w:t xml:space="preserve">The fission rate density dependence is a second order polynomial, given by: </w:t>
      </w:r>
    </w:p>
    <w:tbl>
      <w:tblPr>
        <w:tblStyle w:val="TableGrid0"/>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0"/>
        <w:gridCol w:w="635"/>
      </w:tblGrid>
      <w:tr w:rsidR="00717052" w14:paraId="06D3732C" w14:textId="77777777" w:rsidTr="00F5272B">
        <w:trPr>
          <w:trHeight w:val="505"/>
        </w:trPr>
        <w:tc>
          <w:tcPr>
            <w:tcW w:w="7930" w:type="dxa"/>
          </w:tcPr>
          <w:p w14:paraId="07AC88AB" w14:textId="469EFD5B" w:rsidR="00717052" w:rsidRDefault="00717052" w:rsidP="00717052">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=7.345×</m:t>
                </m:r>
                <m:sSup>
                  <m:sSupPr>
                    <m:ctrlPr>
                      <w:rPr>
                        <w:rFonts w:ascii="Cambria Math" w:hAnsi="Cambria Math"/>
                        <w:i/>
                      </w:rPr>
                    </m:ctrlPr>
                  </m:sSupPr>
                  <m:e>
                    <m:r>
                      <w:rPr>
                        <w:rFonts w:ascii="Cambria Math" w:hAnsi="Cambria Math"/>
                      </w:rPr>
                      <m:t>10</m:t>
                    </m:r>
                  </m:e>
                  <m:sup>
                    <m:r>
                      <w:rPr>
                        <w:rFonts w:ascii="Cambria Math" w:hAnsi="Cambria Math"/>
                      </w:rPr>
                      <m:t>-31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f</m:t>
                        </m:r>
                      </m:e>
                    </m:acc>
                  </m:e>
                  <m:sup>
                    <m:r>
                      <w:rPr>
                        <w:rFonts w:ascii="Cambria Math" w:hAnsi="Cambria Math"/>
                      </w:rPr>
                      <m:t>2</m:t>
                    </m:r>
                  </m:sup>
                </m:sSup>
                <m:r>
                  <w:rPr>
                    <w:rFonts w:ascii="Cambria Math" w:hAnsi="Cambria Math"/>
                  </w:rPr>
                  <m:t>+3.598 ×</m:t>
                </m:r>
                <m:acc>
                  <m:accPr>
                    <m:chr m:val="̇"/>
                    <m:ctrlPr>
                      <w:rPr>
                        <w:rFonts w:ascii="Cambria Math" w:hAnsi="Cambria Math"/>
                        <w:i/>
                      </w:rPr>
                    </m:ctrlPr>
                  </m:accPr>
                  <m:e>
                    <m:r>
                      <w:rPr>
                        <w:rFonts w:ascii="Cambria Math" w:hAnsi="Cambria Math"/>
                      </w:rPr>
                      <m:t>f</m:t>
                    </m:r>
                  </m:e>
                </m:acc>
                <m:r>
                  <w:rPr>
                    <w:rFonts w:ascii="Cambria Math" w:hAnsi="Cambria Math"/>
                  </w:rPr>
                  <m:t>+0.527</m:t>
                </m:r>
              </m:oMath>
            </m:oMathPara>
          </w:p>
        </w:tc>
        <w:tc>
          <w:tcPr>
            <w:tcW w:w="628" w:type="dxa"/>
            <w:vAlign w:val="center"/>
          </w:tcPr>
          <w:p w14:paraId="0103B8C1" w14:textId="461D8384" w:rsidR="00717052" w:rsidRDefault="00717052" w:rsidP="00F5272B">
            <w:pPr>
              <w:pStyle w:val="Caption"/>
              <w:keepNext/>
              <w:jc w:val="center"/>
            </w:pPr>
            <w:r>
              <w:fldChar w:fldCharType="begin"/>
            </w:r>
            <w:r>
              <w:instrText xml:space="preserve"> SEQ Equation \* ARABIC </w:instrText>
            </w:r>
            <w:r>
              <w:fldChar w:fldCharType="separate"/>
            </w:r>
            <w:r>
              <w:rPr>
                <w:noProof/>
              </w:rPr>
              <w:t>5</w:t>
            </w:r>
            <w:r>
              <w:fldChar w:fldCharType="end"/>
            </w:r>
          </w:p>
        </w:tc>
      </w:tr>
    </w:tbl>
    <w:p w14:paraId="4EAF103F" w14:textId="3115AFA7" w:rsidR="00BB3888" w:rsidRDefault="00885D49" w:rsidP="00843DBA">
      <w:pPr>
        <w:ind w:firstLine="0"/>
      </w:pPr>
      <w:r>
        <w:t xml:space="preserve">where </w:t>
      </w:r>
      <m:oMath>
        <m:acc>
          <m:accPr>
            <m:chr m:val="̇"/>
            <m:ctrlPr>
              <w:rPr>
                <w:rFonts w:ascii="Cambria Math" w:hAnsi="Cambria Math"/>
                <w:i/>
              </w:rPr>
            </m:ctrlPr>
          </m:accPr>
          <m:e>
            <m:r>
              <w:rPr>
                <w:rFonts w:ascii="Cambria Math" w:hAnsi="Cambria Math"/>
              </w:rPr>
              <m:t>f</m:t>
            </m:r>
          </m:e>
        </m:acc>
      </m:oMath>
      <w:r>
        <w:t xml:space="preserve"> is provided in units of fiss/</w:t>
      </w:r>
      <w:r w:rsidRPr="00885D49">
        <w:t>cm</w:t>
      </w:r>
      <w:r>
        <w:rPr>
          <w:vertAlign w:val="superscript"/>
        </w:rPr>
        <w:t>3</w:t>
      </w:r>
      <w:r>
        <w:t xml:space="preserve">-s, </w:t>
      </w:r>
      <w:r w:rsidR="00BB3888" w:rsidRPr="00885D49">
        <w:t>and</w:t>
      </w:r>
      <w:r w:rsidR="00BB3888">
        <w:t xml:space="preserve"> the temperature dependence is a linear function</w:t>
      </w:r>
      <w:r>
        <w:t>:</w:t>
      </w:r>
    </w:p>
    <w:tbl>
      <w:tblPr>
        <w:tblStyle w:val="TableGrid0"/>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0"/>
        <w:gridCol w:w="635"/>
      </w:tblGrid>
      <w:tr w:rsidR="00717052" w14:paraId="204FEBE1" w14:textId="77777777" w:rsidTr="00F5272B">
        <w:trPr>
          <w:trHeight w:val="505"/>
        </w:trPr>
        <w:tc>
          <w:tcPr>
            <w:tcW w:w="7930" w:type="dxa"/>
          </w:tcPr>
          <w:p w14:paraId="3D3833BA" w14:textId="79819DCE" w:rsidR="00717052" w:rsidRDefault="00717052" w:rsidP="00F5272B">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=0.0088×T-0.3235</m:t>
                </m:r>
              </m:oMath>
            </m:oMathPara>
          </w:p>
        </w:tc>
        <w:tc>
          <w:tcPr>
            <w:tcW w:w="628" w:type="dxa"/>
            <w:vAlign w:val="center"/>
          </w:tcPr>
          <w:p w14:paraId="30254189" w14:textId="5CB3FAF2" w:rsidR="00717052" w:rsidRDefault="00717052" w:rsidP="00F5272B">
            <w:pPr>
              <w:pStyle w:val="Caption"/>
              <w:keepNext/>
              <w:jc w:val="center"/>
            </w:pPr>
            <w:r>
              <w:fldChar w:fldCharType="begin"/>
            </w:r>
            <w:r>
              <w:instrText xml:space="preserve"> SEQ Equation \* ARABIC </w:instrText>
            </w:r>
            <w:r>
              <w:fldChar w:fldCharType="separate"/>
            </w:r>
            <w:r>
              <w:rPr>
                <w:noProof/>
              </w:rPr>
              <w:t>6</w:t>
            </w:r>
            <w:r>
              <w:fldChar w:fldCharType="end"/>
            </w:r>
          </w:p>
        </w:tc>
      </w:tr>
      <w:tr w:rsidR="00885D49" w14:paraId="6C321A78" w14:textId="77777777" w:rsidTr="00F5272B">
        <w:trPr>
          <w:trHeight w:val="505"/>
        </w:trPr>
        <w:tc>
          <w:tcPr>
            <w:tcW w:w="7930" w:type="dxa"/>
          </w:tcPr>
          <w:p w14:paraId="0F4ADDF2" w14:textId="5BC05EEF" w:rsidR="00885D49" w:rsidRPr="00A838F5" w:rsidRDefault="00885D49" w:rsidP="00F5272B">
            <w:pPr>
              <w:ind w:firstLine="0"/>
            </w:pPr>
            <w:r>
              <w:t xml:space="preserve">where the temperature is provided in degrees </w:t>
            </w:r>
            <w:r w:rsidR="00B358C3">
              <w:t>Celsius</w:t>
            </w:r>
            <w:r>
              <w:t>.</w:t>
            </w:r>
          </w:p>
        </w:tc>
        <w:tc>
          <w:tcPr>
            <w:tcW w:w="628" w:type="dxa"/>
            <w:vAlign w:val="center"/>
          </w:tcPr>
          <w:p w14:paraId="46314BB4" w14:textId="77777777" w:rsidR="00885D49" w:rsidRDefault="00885D49" w:rsidP="00F5272B">
            <w:pPr>
              <w:pStyle w:val="Caption"/>
              <w:keepNext/>
              <w:jc w:val="center"/>
            </w:pPr>
          </w:p>
        </w:tc>
      </w:tr>
    </w:tbl>
    <w:p w14:paraId="7ACA7BC6" w14:textId="314F9039" w:rsidR="00717052" w:rsidRDefault="00717052" w:rsidP="00717052">
      <w:pPr>
        <w:pStyle w:val="Heading2"/>
      </w:pPr>
      <w:r>
        <w:lastRenderedPageBreak/>
        <w:t>Results</w:t>
      </w:r>
    </w:p>
    <w:p w14:paraId="2B5508C6" w14:textId="5C80BDBE" w:rsidR="00EE7995" w:rsidRDefault="008B79A7">
      <w:pPr>
        <w:ind w:left="-15"/>
      </w:pPr>
      <w:r>
        <w:t xml:space="preserve">An example of the fission gas swelling as a function of fission density for three different grain sizes is shown in </w:t>
      </w:r>
      <w:fldSimple w:instr=" REF _Ref82422761 ">
        <w:r w:rsidR="00717052">
          <w:t xml:space="preserve">Figure </w:t>
        </w:r>
        <w:r w:rsidR="00717052">
          <w:rPr>
            <w:noProof/>
          </w:rPr>
          <w:t>2</w:t>
        </w:r>
      </w:fldSimple>
      <w:r>
        <w:t xml:space="preserve">, where the grain sizes are shown in the legend and provided in units of </w:t>
      </w:r>
      <w:r>
        <w:rPr>
          <w:i/>
        </w:rPr>
        <w:t>µ</w:t>
      </w:r>
      <w:r>
        <w:t xml:space="preserve">m. The 8.5 </w:t>
      </w:r>
      <w:bookmarkStart w:id="2" w:name="OLE_LINK1"/>
      <w:r>
        <w:rPr>
          <w:i/>
        </w:rPr>
        <w:t>µ</w:t>
      </w:r>
      <w:r>
        <w:t>m</w:t>
      </w:r>
      <w:bookmarkEnd w:id="2"/>
      <w:r>
        <w:t xml:space="preserve"> case is considered the nominal case. As can be seen, a smaller grain size leads to more rapid swelling and a larger total swelling at the end of life. Conversely, larger grain size leads to a more gradual swelling behavior.</w:t>
      </w:r>
      <w:r w:rsidR="00717052">
        <w:t xml:space="preserve"> </w:t>
      </w:r>
      <w:r w:rsidR="00E13DE1">
        <w:t xml:space="preserve">This corresponds to previous computational phase-field work </w:t>
      </w:r>
      <w:r w:rsidR="00E13DE1">
        <w:fldChar w:fldCharType="begin" w:fldLock="1"/>
      </w:r>
      <w:r w:rsidR="0002363A">
        <w:instrText>ADDIN CSL_CITATION {"citationItems":[{"id":"ITEM-1","itemData":{"author":[{"dropping-particle":"","family":"Beeler","given":"B","non-dropping-particle":"","parse-names":false,"suffix":""},{"dropping-particle":"","family":"Cole","given":"J","non-dropping-particle":"","parse-names":false,"suffix":""},{"dropping-particle":"","family":"Frazier","given":"W","non-dropping-particle":"","parse-names":false,"suffix":""},{"dropping-particle":"","family":"Gao","given":"Y","non-dropping-particle":"","parse-names":false,"suffix":""},{"dropping-particle":"","family":"Glagolenko","given":"I","non-dropping-particle":"","parse-names":false,"suffix":""},{"dropping-particle":"","family":"Hofman","given":"G","non-dropping-particle":"","parse-names":false,"suffix":""},{"dropping-particle":"","family":"Hu","given":"S","non-dropping-particle":"","parse-names":false,"suffix":""},{"dropping-particle":"","family":"Joshi","given":"V","non-dropping-particle":"","parse-names":false,"suffix":""},{"dropping-particle":"","family":"Lavender","given":"C","non-dropping-particle":"","parse-names":false,"suffix":""},{"dropping-particle":"","family":"Lombardo","given":"N","non-dropping-particle":"","parse-names":false,"suffix":""},{"dropping-particle":"","family":"Masengale","given":"S","non-dropping-particle":"","parse-names":false,"suffix":""},{"dropping-particle":"","family":"Mei","given":"Z.-G.","non-dropping-particle":"","parse-names":false,"suffix":""},{"dropping-particle":"","family":"Oaks","given":"A","non-dropping-particle":"","parse-names":false,"suffix":""},{"dropping-particle":"","family":"Okuniewski","given":"M","non-dropping-particle":"","parse-names":false,"suffix":""},{"dropping-particle":"","family":"Park","given":"G","non-dropping-particle":"","parse-names":false,"suffix":""},{"dropping-particle":"","family":"Verner","given":"K","non-dropping-particle":"","parse-names":false,"suffix":""},{"dropping-particle":"","family":"Yacout","given":"A","non-dropping-particle":"","parse-names":false,"suffix":""},{"dropping-particle":"","family":"Ye","given":"B","non-dropping-particle":"","parse-names":false,"suffix":""},{"dropping-particle":"","family":"Zhang","given":"Y","non-dropping-particle":"","parse-names":false,"suffix":""}],"id":"ITEM-1","issue":"INL/EXT-20-60591","issued":{"date-parts":[["2020"]]},"note":"Issue: INL/EXT-20-60591","title":"Microstructural-Level Fuel Performance Modeling of U-Mo Monolithic Fuel","type":"report"},"uris":["http://www.mendeley.com/documents/?uuid=2e351b20-7319-409c-91db-5854da0dc94a"]}],"mendeley":{"formattedCitation":"(Beeler et al., 2020)","plainTextFormattedCitation":"(Beeler et al., 2020)","previouslyFormattedCitation":"(Beeler et al., 2020)"},"properties":{"noteIndex":0},"schema":"https://github.com/citation-style-language/schema/raw/master/csl-citation.json"}</w:instrText>
      </w:r>
      <w:r w:rsidR="00E13DE1">
        <w:fldChar w:fldCharType="separate"/>
      </w:r>
      <w:r w:rsidR="00E13DE1" w:rsidRPr="00E13DE1">
        <w:rPr>
          <w:noProof/>
        </w:rPr>
        <w:t>(Beeler et al., 2020)</w:t>
      </w:r>
      <w:r w:rsidR="00E13DE1">
        <w:fldChar w:fldCharType="end"/>
      </w:r>
      <w:r w:rsidR="00E13DE1">
        <w:t xml:space="preserve">. </w:t>
      </w:r>
    </w:p>
    <w:p w14:paraId="50963844" w14:textId="77777777" w:rsidR="00717052" w:rsidRDefault="008B79A7" w:rsidP="00EB1F76">
      <w:pPr>
        <w:keepNext/>
        <w:spacing w:after="319" w:line="259" w:lineRule="auto"/>
        <w:ind w:left="1071" w:firstLine="0"/>
        <w:jc w:val="center"/>
      </w:pPr>
      <w:r>
        <w:rPr>
          <w:noProof/>
        </w:rPr>
        <w:drawing>
          <wp:inline distT="0" distB="0" distL="0" distR="0" wp14:anchorId="4CBE59D7" wp14:editId="76D9C1E0">
            <wp:extent cx="3714750" cy="297180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8"/>
                    <a:stretch>
                      <a:fillRect/>
                    </a:stretch>
                  </pic:blipFill>
                  <pic:spPr>
                    <a:xfrm>
                      <a:off x="0" y="0"/>
                      <a:ext cx="3714750" cy="2971800"/>
                    </a:xfrm>
                    <a:prstGeom prst="rect">
                      <a:avLst/>
                    </a:prstGeom>
                  </pic:spPr>
                </pic:pic>
              </a:graphicData>
            </a:graphic>
          </wp:inline>
        </w:drawing>
      </w:r>
    </w:p>
    <w:p w14:paraId="506F0B59" w14:textId="5E64717B" w:rsidR="00EE7995" w:rsidRDefault="00717052" w:rsidP="00EB1F76">
      <w:pPr>
        <w:pStyle w:val="Caption"/>
        <w:jc w:val="center"/>
      </w:pPr>
      <w:bookmarkStart w:id="3" w:name="_Ref82422761"/>
      <w:r>
        <w:t xml:space="preserve">Figure </w:t>
      </w:r>
      <w:fldSimple w:instr=" SEQ Figure \* ARABIC ">
        <w:r w:rsidR="00B358C3">
          <w:rPr>
            <w:noProof/>
          </w:rPr>
          <w:t>2</w:t>
        </w:r>
      </w:fldSimple>
      <w:bookmarkEnd w:id="3"/>
      <w:r>
        <w:t xml:space="preserve">. </w:t>
      </w:r>
      <w:r w:rsidRPr="00970035">
        <w:t>Fission gas swelling as a function of fission density at three unique grain sizes. increase in the fission rate density, at the same fission density, tends to increase the amount of swelling. The data shown is for the 4.4 µm grain size.</w:t>
      </w:r>
    </w:p>
    <w:p w14:paraId="6BF671BF" w14:textId="20EE805D" w:rsidR="00E13DE1" w:rsidRDefault="00E13DE1" w:rsidP="00EB1F76">
      <w:pPr>
        <w:ind w:firstLine="0"/>
      </w:pPr>
      <w:r>
        <w:t>An example of the effect of fission rate density is shown in</w:t>
      </w:r>
      <w:r w:rsidR="00EB1F76">
        <w:t xml:space="preserve"> </w:t>
      </w:r>
      <w:fldSimple w:instr=" REF _Ref82424518 ">
        <w:r w:rsidR="00EB1F76">
          <w:t xml:space="preserve">Figure </w:t>
        </w:r>
        <w:r w:rsidR="00EB1F76">
          <w:rPr>
            <w:noProof/>
          </w:rPr>
          <w:t>3</w:t>
        </w:r>
      </w:fldSimple>
      <w:r>
        <w:t>, where the fission gas swelling as a function of fission density at three fission rate densities is shown.</w:t>
      </w:r>
      <w:r w:rsidR="00EB1F76">
        <w:t xml:space="preserve"> This is for the case of a grain size of 4.4 </w:t>
      </w:r>
      <w:r w:rsidR="00EB1F76">
        <w:rPr>
          <w:i/>
        </w:rPr>
        <w:t>µ</w:t>
      </w:r>
      <w:r w:rsidR="00EB1F76">
        <w:t>m</w:t>
      </w:r>
      <w:r w:rsidR="00EB1F76">
        <w:t>. As would be expected, an increase in the fission rate density yields a corresponding increase in the fission gas swelling. This is believed to be largely due to the corresponding increase in the temperature that is associated with an increased fission rate density.</w:t>
      </w:r>
      <w:r w:rsidR="00B358C3">
        <w:t xml:space="preserve"> </w:t>
      </w:r>
      <w:bookmarkStart w:id="4" w:name="OLE_LINK2"/>
      <w:r w:rsidR="00B358C3">
        <w:lastRenderedPageBreak/>
        <w:t xml:space="preserve">Currently there is no grain size dependence on the fission rate dependence, but such additional complexity will be included in the future. </w:t>
      </w:r>
      <w:bookmarkEnd w:id="4"/>
    </w:p>
    <w:p w14:paraId="3FA5A6CE" w14:textId="77777777" w:rsidR="00EB1F76" w:rsidRDefault="008B79A7" w:rsidP="00EB1F76">
      <w:pPr>
        <w:keepNext/>
        <w:spacing w:after="319" w:line="259" w:lineRule="auto"/>
        <w:ind w:left="1071" w:firstLine="0"/>
        <w:jc w:val="center"/>
      </w:pPr>
      <w:r>
        <w:rPr>
          <w:noProof/>
        </w:rPr>
        <w:drawing>
          <wp:inline distT="0" distB="0" distL="0" distR="0" wp14:anchorId="5AF18714" wp14:editId="49088778">
            <wp:extent cx="3714750" cy="2971800"/>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9"/>
                    <a:stretch>
                      <a:fillRect/>
                    </a:stretch>
                  </pic:blipFill>
                  <pic:spPr>
                    <a:xfrm>
                      <a:off x="0" y="0"/>
                      <a:ext cx="3714750" cy="2971800"/>
                    </a:xfrm>
                    <a:prstGeom prst="rect">
                      <a:avLst/>
                    </a:prstGeom>
                  </pic:spPr>
                </pic:pic>
              </a:graphicData>
            </a:graphic>
          </wp:inline>
        </w:drawing>
      </w:r>
    </w:p>
    <w:p w14:paraId="2C730EC3" w14:textId="0C062029" w:rsidR="00EE7995" w:rsidRDefault="00EB1F76" w:rsidP="00EB1F76">
      <w:pPr>
        <w:pStyle w:val="Caption"/>
        <w:jc w:val="center"/>
      </w:pPr>
      <w:bookmarkStart w:id="5" w:name="_Ref82424447"/>
      <w:bookmarkStart w:id="6" w:name="_Ref82424518"/>
      <w:r>
        <w:t xml:space="preserve">Figure </w:t>
      </w:r>
      <w:fldSimple w:instr=" SEQ Figure \* ARABIC ">
        <w:r w:rsidR="00B358C3">
          <w:rPr>
            <w:noProof/>
          </w:rPr>
          <w:t>3</w:t>
        </w:r>
      </w:fldSimple>
      <w:bookmarkEnd w:id="6"/>
      <w:r>
        <w:t xml:space="preserve">. </w:t>
      </w:r>
      <w:r w:rsidRPr="00FA0ADE">
        <w:t>Fission gas swelling as a function of fission density at three unique fission rate densities.</w:t>
      </w:r>
      <w:bookmarkEnd w:id="5"/>
    </w:p>
    <w:p w14:paraId="784D3D06" w14:textId="69B43D4F" w:rsidR="00EB1F76" w:rsidRDefault="00EB1F76">
      <w:pPr>
        <w:ind w:left="-15" w:firstLine="0"/>
      </w:pPr>
      <w:r>
        <w:t xml:space="preserve">The temperature dependence itself is shown in </w:t>
      </w:r>
      <w:fldSimple w:instr=" REF _Ref82424834 ">
        <w:r>
          <w:t xml:space="preserve">Figure </w:t>
        </w:r>
        <w:r>
          <w:rPr>
            <w:noProof/>
          </w:rPr>
          <w:t>4</w:t>
        </w:r>
      </w:fldSimple>
      <w:r w:rsidR="00B358C3">
        <w:t xml:space="preserve">, for a grain size of </w:t>
      </w:r>
      <w:r w:rsidR="00B358C3">
        <w:t xml:space="preserve">4.4 </w:t>
      </w:r>
      <w:r w:rsidR="00B358C3">
        <w:rPr>
          <w:i/>
        </w:rPr>
        <w:t>µ</w:t>
      </w:r>
      <w:r w:rsidR="00B358C3">
        <w:t>m</w:t>
      </w:r>
      <w:r w:rsidR="00B358C3">
        <w:t xml:space="preserve"> and a fission rate density of </w:t>
      </w:r>
      <m:oMath>
        <m:r>
          <w:rPr>
            <w:rFonts w:ascii="Cambria Math" w:hAnsi="Cambria Math"/>
          </w:rPr>
          <m:t>5.9×</m:t>
        </m:r>
        <m:sSup>
          <m:sSupPr>
            <m:ctrlPr>
              <w:rPr>
                <w:rFonts w:ascii="Cambria Math" w:hAnsi="Cambria Math"/>
                <w:i/>
              </w:rPr>
            </m:ctrlPr>
          </m:sSupPr>
          <m:e>
            <m:r>
              <w:rPr>
                <w:rFonts w:ascii="Cambria Math" w:hAnsi="Cambria Math"/>
              </w:rPr>
              <m:t>10</m:t>
            </m:r>
          </m:e>
          <m:sup>
            <m:r>
              <w:rPr>
                <w:rFonts w:ascii="Cambria Math" w:hAnsi="Cambria Math"/>
              </w:rPr>
              <m:t>14</m:t>
            </m:r>
          </m:sup>
        </m:sSup>
      </m:oMath>
      <w:r w:rsidR="00B358C3">
        <w:t xml:space="preserve"> </w:t>
      </w:r>
      <w:proofErr w:type="spellStart"/>
      <w:r w:rsidR="00B358C3">
        <w:t>fiss</w:t>
      </w:r>
      <w:proofErr w:type="spellEnd"/>
      <w:r w:rsidR="00B358C3">
        <w:t>/cm</w:t>
      </w:r>
      <w:r w:rsidR="00B358C3">
        <w:rPr>
          <w:vertAlign w:val="superscript"/>
        </w:rPr>
        <w:t>3</w:t>
      </w:r>
      <w:r w:rsidR="00B358C3">
        <w:t>-s</w:t>
      </w:r>
      <w:r w:rsidR="00B358C3">
        <w:t xml:space="preserve">. Higher temperatures indeed lead to accelerated swelling behaviors. </w:t>
      </w:r>
      <w:r w:rsidR="00B358C3">
        <w:t xml:space="preserve">Currently there is no grain size dependence on the </w:t>
      </w:r>
      <w:r w:rsidR="00B358C3">
        <w:t>temperature</w:t>
      </w:r>
      <w:r w:rsidR="00B358C3">
        <w:t xml:space="preserve"> dependence, but such additional complexity will be included in the future.</w:t>
      </w:r>
    </w:p>
    <w:p w14:paraId="41CA8F1C" w14:textId="7484AD1A" w:rsidR="00EB1F76" w:rsidRDefault="000B2315" w:rsidP="00EB1F76">
      <w:pPr>
        <w:keepNext/>
        <w:ind w:left="-15" w:firstLine="0"/>
        <w:jc w:val="center"/>
      </w:pPr>
      <w:r>
        <w:rPr>
          <w:noProof/>
        </w:rPr>
        <w:lastRenderedPageBreak/>
        <w:drawing>
          <wp:inline distT="0" distB="0" distL="0" distR="0" wp14:anchorId="20F1B057" wp14:editId="0BEDC889">
            <wp:extent cx="3709626"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9626" cy="2971800"/>
                    </a:xfrm>
                    <a:prstGeom prst="rect">
                      <a:avLst/>
                    </a:prstGeom>
                  </pic:spPr>
                </pic:pic>
              </a:graphicData>
            </a:graphic>
          </wp:inline>
        </w:drawing>
      </w:r>
    </w:p>
    <w:p w14:paraId="1CCE307C" w14:textId="69EDA0F0" w:rsidR="00EB1F76" w:rsidRDefault="00EB1F76" w:rsidP="00EB1F76">
      <w:pPr>
        <w:pStyle w:val="Caption"/>
        <w:jc w:val="center"/>
      </w:pPr>
      <w:bookmarkStart w:id="7" w:name="_Ref82424834"/>
      <w:r>
        <w:t xml:space="preserve">Figure </w:t>
      </w:r>
      <w:fldSimple w:instr=" SEQ Figure \* ARABIC ">
        <w:r w:rsidR="00B358C3">
          <w:rPr>
            <w:noProof/>
          </w:rPr>
          <w:t>4</w:t>
        </w:r>
      </w:fldSimple>
      <w:bookmarkEnd w:id="7"/>
      <w:r>
        <w:t xml:space="preserve">. The fission gas swelling as a function of fission density at three unique temperatures. </w:t>
      </w:r>
    </w:p>
    <w:p w14:paraId="7565F389" w14:textId="62B469C8" w:rsidR="00B358C3" w:rsidRDefault="00B358C3" w:rsidP="00B358C3">
      <w:pPr>
        <w:pStyle w:val="Heading2"/>
        <w:ind w:firstLine="0"/>
      </w:pPr>
      <w:r>
        <w:t>Discussion</w:t>
      </w:r>
    </w:p>
    <w:p w14:paraId="1C1009C5" w14:textId="1A639810" w:rsidR="00382130" w:rsidRDefault="0002363A" w:rsidP="00B358C3">
      <w:r>
        <w:t xml:space="preserve">A comparison of the Robinson </w:t>
      </w:r>
      <w:r>
        <w:fldChar w:fldCharType="begin" w:fldLock="1"/>
      </w:r>
      <w:r>
        <w:instrText>ADDIN CSL_CITATION {"citationItems":[{"id":"ITEM-1","itemData":{"DOI":"10.1016/j.jnucmat.2020.152703","ISSN":"00223115","abstract":"Understanding swelling behavior in monolithic, uranium-molybdenum, plate-type fuel is necessary to qualify the fuel for reactor use and for the conversion of high performance research reactors from highly enriched to low-enriched uranium. Multiple mechanisms influence plate dimensional stability, including solid and gaseous fission-product induced swelling, irradiation-assisted creep, fuel-phase transformation, and interaction-layer formation. Separating these phenomena remains a challenge, and current models do not appear to adequately predict experimental results at higher fission densities where it is most critical. To mitigate the mechanistic uncertainty, post-irradiation profilometry is used to increase the number of data points available over a range of in-reactor irradiation experiments conducted at the Advanced Test Reactor, and to provide a statistical precedent for a swelling-behavior model. This work establishes a predictive swelling correlation as a function of fission density, with associated confidence and prediction bounds, by analyzing more than 18,000 thickness data points collected on 74 irradiated U-10Mo monolithic fuel test plates over a range of irradiation conditions.","author":[{"dropping-particle":"","family":"Robinson","given":"A.B.","non-dropping-particle":"","parse-names":false,"suffix":""},{"dropping-particle":"","family":"Williams","given":"W.J.","non-dropping-particle":"","parse-names":false,"suffix":""},{"dropping-particle":"","family":"Hanson","given":"W.A.","non-dropping-particle":"","parse-names":false,"suffix":""},{"dropping-particle":"","family":"Rabin","given":"B.H.","non-dropping-particle":"","parse-names":false,"suffix":""},{"dropping-particle":"","family":"Lybeck","given":"N.J.","non-dropping-particle":"","parse-names":false,"suffix":""},{"dropping-particle":"","family":"Meyer","given":"M.K.","non-dropping-particle":"","parse-names":false,"suffix":""}],"container-title":"Journal of Nuclear Materials","id":"ITEM-1","issued":{"date-parts":[["2021","2"]]},"page":"152703","publisher":"Elsevier B.V.","title":"Swelling of U-Mo Monolithic Fuel: Developing a Predictive Swelling Correlation under Research Reactor Conditions","type":"article-journal","volume":"544"},"uris":["http://www.mendeley.com/documents/?uuid=cf7f8c14-cd1e-424b-931e-ca7f556a4dbd"]}],"mendeley":{"formattedCitation":"(Robinson et al., 2021)","plainTextFormattedCitation":"(Robinson et al., 2021)"},"properties":{"noteIndex":0},"schema":"https://github.com/citation-style-language/schema/raw/master/csl-citation.json"}</w:instrText>
      </w:r>
      <w:r>
        <w:fldChar w:fldCharType="separate"/>
      </w:r>
      <w:r w:rsidRPr="0002363A">
        <w:rPr>
          <w:noProof/>
        </w:rPr>
        <w:t>(Robinson et al., 2021)</w:t>
      </w:r>
      <w:r>
        <w:fldChar w:fldCharType="end"/>
      </w:r>
      <w:r>
        <w:t xml:space="preserve"> swelling correlation to the fission gas swelling predictions from the current work is shown in </w:t>
      </w:r>
      <w:fldSimple w:instr=" REF _Ref82425741 ">
        <w:r>
          <w:t xml:space="preserve">Figure </w:t>
        </w:r>
        <w:r>
          <w:rPr>
            <w:noProof/>
          </w:rPr>
          <w:t>5</w:t>
        </w:r>
      </w:fldSimple>
      <w:r>
        <w:t xml:space="preserve">. This chart assumes the nominal fission rate density and nominal initial centerline temperature. For the nominal grain size (8.5 </w:t>
      </w:r>
      <w:r w:rsidRPr="0002363A">
        <w:rPr>
          <w:rFonts w:ascii="Symbol" w:hAnsi="Symbol"/>
        </w:rPr>
        <w:t>m</w:t>
      </w:r>
      <w:r>
        <w:t xml:space="preserve">m), this work reasonably accurately reproduces the fission gas swelling data from Robinson. It should be emphasized that the Robinson correlation and the experimental data on which it was built were NOT utilized as inputs into this model, but only LLS modeling fission gas swelling predictions from DART were utilized. Given the lack of information on nominal grain size in </w:t>
      </w:r>
      <w:proofErr w:type="spellStart"/>
      <w:r>
        <w:t>UMo</w:t>
      </w:r>
      <w:proofErr w:type="spellEnd"/>
      <w:r>
        <w:t xml:space="preserve"> monolithic fuel and the assumption of a nominal grain size, this is considered excellent agreement with the experimental correlations. Provided potential modifications in the fabrication process produce corresponding changes in the initial grain structures, we are showing that sufficiently large deviations from the existing nominal grain morphology can produce significant (30%) over- or under-predictions on the end-of-life fuel swelling. As more information on the initial grain microstructures are provided, these models can be modified to incorporate the true nominal grain </w:t>
      </w:r>
      <w:r>
        <w:lastRenderedPageBreak/>
        <w:t xml:space="preserve">size, and potentially information on grain size distributions, to more fully describe the evolution of fission gas swelling as a function of fission density. </w:t>
      </w:r>
      <w:r w:rsidR="00382130">
        <w:t>This refinement of how the nominal case is defined can also be modified for the fission rate density and the temperature.</w:t>
      </w:r>
    </w:p>
    <w:p w14:paraId="3145C095" w14:textId="3CA4DF1C" w:rsidR="00B358C3" w:rsidRDefault="0002363A" w:rsidP="00B358C3">
      <w:r>
        <w:t xml:space="preserve">Another key finding from this work that is not currently captured in the Robinson correlation is the importance of temperature. </w:t>
      </w:r>
      <w:r w:rsidR="00382130">
        <w:t xml:space="preserve">A thirty-degree difference in the initial centerline temperature can affect a 15% change in the fission gas swelling at the end-of-life. Given that different research reactors possess different operating conditions, including inlet temperature which would affect fuel centerline temperature, including variability of swelling with temperature appears to be critical. </w:t>
      </w:r>
    </w:p>
    <w:p w14:paraId="10182738" w14:textId="77777777" w:rsidR="00B358C3" w:rsidRDefault="00B358C3" w:rsidP="00B358C3">
      <w:pPr>
        <w:keepNext/>
        <w:jc w:val="center"/>
      </w:pPr>
      <w:r>
        <w:rPr>
          <w:noProof/>
        </w:rPr>
        <w:drawing>
          <wp:inline distT="0" distB="0" distL="0" distR="0" wp14:anchorId="75A2F8BD" wp14:editId="141318B4">
            <wp:extent cx="3701896"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1896" cy="2971800"/>
                    </a:xfrm>
                    <a:prstGeom prst="rect">
                      <a:avLst/>
                    </a:prstGeom>
                  </pic:spPr>
                </pic:pic>
              </a:graphicData>
            </a:graphic>
          </wp:inline>
        </w:drawing>
      </w:r>
    </w:p>
    <w:p w14:paraId="6321AAEA" w14:textId="4F743126" w:rsidR="00B358C3" w:rsidRDefault="00B358C3" w:rsidP="00B358C3">
      <w:pPr>
        <w:pStyle w:val="Caption"/>
        <w:jc w:val="center"/>
      </w:pPr>
      <w:bookmarkStart w:id="8" w:name="_Ref82425741"/>
      <w:r>
        <w:t xml:space="preserve">Figure </w:t>
      </w:r>
      <w:fldSimple w:instr=" SEQ Figure \* ARABIC ">
        <w:r>
          <w:rPr>
            <w:noProof/>
          </w:rPr>
          <w:t>5</w:t>
        </w:r>
      </w:fldSimple>
      <w:bookmarkEnd w:id="8"/>
      <w:r>
        <w:t xml:space="preserve">. The fission gas swelling as a function of fission density, comparing the previous gaseous swelling correlation to four grain sizes from the present work. Legend units in </w:t>
      </w:r>
      <w:r w:rsidRPr="00B358C3">
        <w:rPr>
          <w:rFonts w:ascii="Symbol" w:hAnsi="Symbol"/>
        </w:rPr>
        <w:t>m</w:t>
      </w:r>
      <w:r>
        <w:t>m.</w:t>
      </w:r>
    </w:p>
    <w:p w14:paraId="2BF479A0" w14:textId="238ECB48" w:rsidR="00B358C3" w:rsidRDefault="00B358C3" w:rsidP="00B358C3">
      <w:pPr>
        <w:pStyle w:val="Heading2"/>
      </w:pPr>
      <w:r>
        <w:t>Conclusions</w:t>
      </w:r>
    </w:p>
    <w:p w14:paraId="38194194" w14:textId="1FAE1DCF" w:rsidR="00B358C3" w:rsidRDefault="00B358C3" w:rsidP="00B358C3">
      <w:r>
        <w:t xml:space="preserve">An updated fission gas swelling model was generated </w:t>
      </w:r>
      <w:r w:rsidR="00382130">
        <w:t xml:space="preserve">that incorporates grain size, temperature, fission rate density, and fission density for </w:t>
      </w:r>
      <w:proofErr w:type="spellStart"/>
      <w:r w:rsidR="00382130">
        <w:t>UMo</w:t>
      </w:r>
      <w:proofErr w:type="spellEnd"/>
      <w:r w:rsidR="00382130">
        <w:t xml:space="preserve"> monolithic fuel. For the assumed nominal case, </w:t>
      </w:r>
      <w:r w:rsidR="00A7363A">
        <w:lastRenderedPageBreak/>
        <w:t xml:space="preserve">the swelling correlation presented here reasonably reproduces the experimentally based swelling correlations. This work has defined functional relationships relating the individual state variables of interest to the fission gas swelling, allowing for exploration of operational phase spaces that are not able to be described by the existing experimental correlations. This work has highlighted the need to understand the initial microstructure of </w:t>
      </w:r>
      <w:proofErr w:type="spellStart"/>
      <w:r w:rsidR="00A7363A">
        <w:t>UMo</w:t>
      </w:r>
      <w:proofErr w:type="spellEnd"/>
      <w:r w:rsidR="00A7363A">
        <w:t xml:space="preserve"> monolithic fuel, as modifications in initial grain size can yield substantially different results in the fission gas swelling behavior.</w:t>
      </w:r>
    </w:p>
    <w:p w14:paraId="75BA5767" w14:textId="08ABDA05" w:rsidR="00A7363A" w:rsidRPr="00B358C3" w:rsidRDefault="00A7363A" w:rsidP="00B358C3">
      <w:r>
        <w:t xml:space="preserve">This model has been delivered to the engineering fuel performance modeling team and is currently undergoing evaluation. </w:t>
      </w:r>
    </w:p>
    <w:sectPr w:rsidR="00A7363A" w:rsidRPr="00B358C3">
      <w:footerReference w:type="even" r:id="rId12"/>
      <w:footerReference w:type="default" r:id="rId13"/>
      <w:footerReference w:type="first" r:id="rId14"/>
      <w:pgSz w:w="12240" w:h="15840"/>
      <w:pgMar w:top="1969" w:right="1836" w:bottom="2809" w:left="1836" w:header="720" w:footer="22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C4E77" w14:textId="77777777" w:rsidR="002763DC" w:rsidRDefault="002763DC">
      <w:pPr>
        <w:spacing w:after="0" w:line="240" w:lineRule="auto"/>
      </w:pPr>
      <w:r>
        <w:separator/>
      </w:r>
    </w:p>
  </w:endnote>
  <w:endnote w:type="continuationSeparator" w:id="0">
    <w:p w14:paraId="40667CB2" w14:textId="77777777" w:rsidR="002763DC" w:rsidRDefault="00276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4D"/>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0E3B0" w14:textId="77777777" w:rsidR="00EE7995" w:rsidRDefault="008B79A7">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4D63" w14:textId="77777777" w:rsidR="00EE7995" w:rsidRDefault="008B79A7">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7B98A" w14:textId="77777777" w:rsidR="00EE7995" w:rsidRDefault="008B79A7">
    <w:pPr>
      <w:spacing w:after="0" w:line="259" w:lineRule="auto"/>
      <w:ind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C0027" w14:textId="77777777" w:rsidR="002763DC" w:rsidRDefault="002763DC">
      <w:pPr>
        <w:spacing w:after="0" w:line="240" w:lineRule="auto"/>
      </w:pPr>
      <w:r>
        <w:separator/>
      </w:r>
    </w:p>
  </w:footnote>
  <w:footnote w:type="continuationSeparator" w:id="0">
    <w:p w14:paraId="156ED5CB" w14:textId="77777777" w:rsidR="002763DC" w:rsidRDefault="002763D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995"/>
    <w:rsid w:val="0002363A"/>
    <w:rsid w:val="00096BBE"/>
    <w:rsid w:val="000B2315"/>
    <w:rsid w:val="0013563F"/>
    <w:rsid w:val="001D76AA"/>
    <w:rsid w:val="002763DC"/>
    <w:rsid w:val="00382130"/>
    <w:rsid w:val="006400CE"/>
    <w:rsid w:val="006A44C6"/>
    <w:rsid w:val="00717052"/>
    <w:rsid w:val="007265C3"/>
    <w:rsid w:val="00777EE0"/>
    <w:rsid w:val="00843DBA"/>
    <w:rsid w:val="008512BF"/>
    <w:rsid w:val="00885D49"/>
    <w:rsid w:val="008B79A7"/>
    <w:rsid w:val="008F1F28"/>
    <w:rsid w:val="00A7363A"/>
    <w:rsid w:val="00B358C3"/>
    <w:rsid w:val="00BB3888"/>
    <w:rsid w:val="00BE5D54"/>
    <w:rsid w:val="00D024B2"/>
    <w:rsid w:val="00D32D4B"/>
    <w:rsid w:val="00D42DBD"/>
    <w:rsid w:val="00E123B0"/>
    <w:rsid w:val="00E13DE1"/>
    <w:rsid w:val="00EB1F76"/>
    <w:rsid w:val="00EE7995"/>
    <w:rsid w:val="00FE3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76C77"/>
  <w15:docId w15:val="{0D127DD9-0551-CE44-AF90-0C21AA453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3B0"/>
    <w:pPr>
      <w:spacing w:before="240" w:after="244" w:line="360" w:lineRule="auto"/>
      <w:ind w:firstLine="329"/>
      <w:jc w:val="both"/>
    </w:pPr>
    <w:rPr>
      <w:rFonts w:ascii="Times New Roman" w:eastAsia="Cambria" w:hAnsi="Times New Roman" w:cs="Cambria"/>
      <w:color w:val="000000"/>
      <w:sz w:val="22"/>
    </w:rPr>
  </w:style>
  <w:style w:type="paragraph" w:styleId="Heading1">
    <w:name w:val="heading 1"/>
    <w:basedOn w:val="Normal"/>
    <w:next w:val="Normal"/>
    <w:link w:val="Heading1Char"/>
    <w:uiPriority w:val="9"/>
    <w:qFormat/>
    <w:rsid w:val="00E123B0"/>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23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E123B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23B0"/>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D42DBD"/>
    <w:rPr>
      <w:color w:val="808080"/>
    </w:rPr>
  </w:style>
  <w:style w:type="paragraph" w:styleId="Caption">
    <w:name w:val="caption"/>
    <w:basedOn w:val="Normal"/>
    <w:next w:val="Normal"/>
    <w:uiPriority w:val="35"/>
    <w:unhideWhenUsed/>
    <w:qFormat/>
    <w:rsid w:val="006A44C6"/>
    <w:pPr>
      <w:spacing w:before="0" w:after="200" w:line="240" w:lineRule="auto"/>
    </w:pPr>
    <w:rPr>
      <w:i/>
      <w:iCs/>
      <w:color w:val="44546A" w:themeColor="text2"/>
      <w:sz w:val="18"/>
      <w:szCs w:val="18"/>
    </w:rPr>
  </w:style>
  <w:style w:type="table" w:styleId="TableGrid0">
    <w:name w:val="Table Grid"/>
    <w:basedOn w:val="TableNormal"/>
    <w:uiPriority w:val="39"/>
    <w:rsid w:val="00640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680518">
      <w:bodyDiv w:val="1"/>
      <w:marLeft w:val="0"/>
      <w:marRight w:val="0"/>
      <w:marTop w:val="0"/>
      <w:marBottom w:val="0"/>
      <w:divBdr>
        <w:top w:val="none" w:sz="0" w:space="0" w:color="auto"/>
        <w:left w:val="none" w:sz="0" w:space="0" w:color="auto"/>
        <w:bottom w:val="none" w:sz="0" w:space="0" w:color="auto"/>
        <w:right w:val="none" w:sz="0" w:space="0" w:color="auto"/>
      </w:divBdr>
    </w:div>
    <w:div w:id="1282806486">
      <w:bodyDiv w:val="1"/>
      <w:marLeft w:val="0"/>
      <w:marRight w:val="0"/>
      <w:marTop w:val="0"/>
      <w:marBottom w:val="0"/>
      <w:divBdr>
        <w:top w:val="none" w:sz="0" w:space="0" w:color="auto"/>
        <w:left w:val="none" w:sz="0" w:space="0" w:color="auto"/>
        <w:bottom w:val="none" w:sz="0" w:space="0" w:color="auto"/>
        <w:right w:val="none" w:sz="0" w:space="0" w:color="auto"/>
      </w:divBdr>
    </w:div>
    <w:div w:id="1436827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83B45-3141-9D40-9865-57DDD438F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9</Pages>
  <Words>3579</Words>
  <Characters>20404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Beeler</dc:creator>
  <cp:keywords/>
  <cp:lastModifiedBy>Benjamin Beeler</cp:lastModifiedBy>
  <cp:revision>8</cp:revision>
  <dcterms:created xsi:type="dcterms:W3CDTF">2021-08-30T22:07:00Z</dcterms:created>
  <dcterms:modified xsi:type="dcterms:W3CDTF">2021-09-13T15:59:00Z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http://www.zotero.org/styles/elsevier-with-titles</vt:lpwstr>
  </property>
  <property fmtid="{D5CDD505-2E9C-101B-9397-08002B2CF9AE}" pid="13" name="Mendeley Recent Style Name 5_1">
    <vt:lpwstr>Elsevier (numeric, with titles)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5123e54d-ed4c-37c5-8ef2-60174671389c</vt:lpwstr>
  </property>
  <property fmtid="{D5CDD505-2E9C-101B-9397-08002B2CF9AE}" pid="24" name="Mendeley Citation Style_1">
    <vt:lpwstr>http://www.zotero.org/styles/apa</vt:lpwstr>
  </property>
</Properties>
</file>